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</w:p>
          <w:p w:rsidR="00F509CC" w:rsidRPr="004E4F78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</w:t>
            </w:r>
            <w:bookmarkStart w:id="0" w:name="_GoBack"/>
            <w:bookmarkEnd w:id="0"/>
            <w:r w:rsidRPr="00F123B3">
              <w:rPr>
                <w:rFonts w:ascii="Times New Roman" w:hAnsi="Times New Roman"/>
                <w:b/>
                <w:sz w:val="26"/>
                <w:szCs w:val="26"/>
              </w:rPr>
              <w:t xml:space="preserve">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A36C8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</w:t>
            </w:r>
            <w:r w:rsidR="002F7263">
              <w:rPr>
                <w:rFonts w:ascii="Times New Roman" w:hAnsi="Times New Roman"/>
                <w:sz w:val="26"/>
                <w:szCs w:val="26"/>
              </w:rPr>
              <w:t>начальника Инспекц</w:t>
            </w:r>
            <w:r w:rsidR="00F678F1">
              <w:rPr>
                <w:rFonts w:ascii="Times New Roman" w:hAnsi="Times New Roman"/>
                <w:sz w:val="26"/>
                <w:szCs w:val="26"/>
              </w:rPr>
              <w:t>ии Озеровой Анны Александровны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кции Федеральной налоговой </w:t>
            </w:r>
            <w:proofErr w:type="spellStart"/>
            <w:r w:rsidR="00AC7733">
              <w:rPr>
                <w:rFonts w:ascii="Times New Roman" w:hAnsi="Times New Roman"/>
                <w:sz w:val="26"/>
                <w:szCs w:val="26"/>
              </w:rPr>
              <w:t>служ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от 14.07.2021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6C82">
              <w:rPr>
                <w:rFonts w:ascii="Times New Roman" w:hAnsi="Times New Roman"/>
                <w:sz w:val="26"/>
                <w:szCs w:val="26"/>
              </w:rPr>
              <w:t>3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tbl>
            <w:tblPr>
              <w:tblpPr w:leftFromText="180" w:rightFromText="180" w:vertAnchor="text" w:horzAnchor="margin" w:tblpX="-284" w:tblpY="50"/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0773"/>
            </w:tblGrid>
            <w:tr w:rsidR="00301AB8" w:rsidTr="00362703">
              <w:trPr>
                <w:trHeight w:val="3327"/>
              </w:trPr>
              <w:tc>
                <w:tcPr>
                  <w:tcW w:w="10773" w:type="dxa"/>
                </w:tcPr>
                <w:tbl>
                  <w:tblPr>
                    <w:tblW w:w="10456" w:type="dxa"/>
                    <w:tblInd w:w="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4"/>
                    <w:gridCol w:w="2764"/>
                    <w:gridCol w:w="1560"/>
                    <w:gridCol w:w="3368"/>
                  </w:tblGrid>
                  <w:tr w:rsidR="00513060" w:rsidRPr="001441FF" w:rsidTr="000F3F6C">
                    <w:tc>
                      <w:tcPr>
                        <w:tcW w:w="2764" w:type="dxa"/>
                        <w:vAlign w:val="center"/>
                      </w:tcPr>
                      <w:p w:rsidR="00513060" w:rsidRPr="001441FF" w:rsidRDefault="00513060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структурного подразделения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513060" w:rsidRPr="001441FF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вакантной должности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513060" w:rsidRPr="001441FF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вакантных должностей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513060" w:rsidRPr="001441FF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Ф.И.О. участника конкурса</w:t>
                        </w:r>
                      </w:p>
                    </w:tc>
                  </w:tr>
                  <w:tr w:rsidR="00513060" w:rsidRPr="001441FF" w:rsidTr="000F3F6C">
                    <w:trPr>
                      <w:trHeight w:val="509"/>
                    </w:trPr>
                    <w:tc>
                      <w:tcPr>
                        <w:tcW w:w="2764" w:type="dxa"/>
                        <w:vAlign w:val="center"/>
                      </w:tcPr>
                      <w:p w:rsidR="00513060" w:rsidRPr="00E6482B" w:rsidRDefault="00513060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Правовой отдел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513060" w:rsidRPr="007B114D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Главный  специалист-эксперт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513060" w:rsidRPr="007B114D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B11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513060" w:rsidRPr="00D344FB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Сокоушина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Ю.Н.</w:t>
                        </w:r>
                      </w:p>
                      <w:p w:rsidR="00513060" w:rsidRPr="00D344FB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Коновалова Е.А.</w:t>
                        </w:r>
                      </w:p>
                      <w:p w:rsidR="00513060" w:rsidRPr="00D344FB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72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3060" w:rsidRPr="00B24F80" w:rsidTr="000F3F6C">
                    <w:trPr>
                      <w:trHeight w:val="405"/>
                    </w:trPr>
                    <w:tc>
                      <w:tcPr>
                        <w:tcW w:w="2764" w:type="dxa"/>
                        <w:vAlign w:val="center"/>
                      </w:tcPr>
                      <w:p w:rsidR="00513060" w:rsidRPr="000246B5" w:rsidRDefault="00513060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Отдел отраслевого контроля № 1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513060" w:rsidRPr="006559F9" w:rsidRDefault="00513060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Старший г</w:t>
                        </w:r>
                        <w:r w:rsidRPr="00F60BE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осударственный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F60BE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налоговый инспектор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513060" w:rsidRPr="009F34DA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513060" w:rsidRPr="00D344FB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2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Червякова Э.А.</w:t>
                        </w:r>
                      </w:p>
                      <w:p w:rsidR="00513060" w:rsidRPr="00D344FB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2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Коновалова Е.А.</w:t>
                        </w:r>
                      </w:p>
                      <w:p w:rsidR="00513060" w:rsidRPr="00D344FB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36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3060" w:rsidRPr="00B24F80" w:rsidTr="000F3F6C">
                    <w:trPr>
                      <w:trHeight w:val="405"/>
                    </w:trPr>
                    <w:tc>
                      <w:tcPr>
                        <w:tcW w:w="2764" w:type="dxa"/>
                        <w:vAlign w:val="center"/>
                      </w:tcPr>
                      <w:p w:rsidR="00513060" w:rsidRPr="003861D2" w:rsidRDefault="00513060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Отдел отраслевого контроля № 2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513060" w:rsidRPr="003861D2" w:rsidRDefault="00513060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Главный г</w:t>
                        </w:r>
                        <w:r w:rsidRPr="003861D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осударственный налоговый инспектор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513060" w:rsidRPr="003861D2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1D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513060" w:rsidRPr="00D344FB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3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Ситникова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С.В.</w:t>
                        </w:r>
                      </w:p>
                      <w:p w:rsidR="00513060" w:rsidRPr="00D344FB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3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Коновалова Е.А.</w:t>
                        </w:r>
                      </w:p>
                      <w:p w:rsidR="00513060" w:rsidRPr="00D344FB" w:rsidRDefault="00513060" w:rsidP="00BD43A6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36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1AB8" w:rsidRDefault="00301AB8" w:rsidP="00BD43A6">
                  <w:pPr>
                    <w:tabs>
                      <w:tab w:val="left" w:pos="4590"/>
                    </w:tabs>
                    <w:ind w:right="17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84AED" w:rsidRPr="00B84AED" w:rsidRDefault="00B84AED" w:rsidP="00BD43A6">
                  <w:pPr>
                    <w:tabs>
                      <w:tab w:val="left" w:pos="4590"/>
                    </w:tabs>
                    <w:ind w:right="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К</w:t>
                  </w:r>
                  <w:r w:rsidRPr="00B84AED">
                    <w:rPr>
                      <w:rFonts w:ascii="Times New Roman" w:hAnsi="Times New Roman"/>
                      <w:sz w:val="26"/>
                      <w:szCs w:val="26"/>
                    </w:rPr>
                    <w:t>онкурс на заме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щение иных вакантных должностей, </w:t>
                  </w:r>
                  <w:r w:rsidR="00966E48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  <w:r w:rsidRPr="00B84AED">
                    <w:rPr>
                      <w:rFonts w:ascii="Times New Roman" w:hAnsi="Times New Roman"/>
                      <w:sz w:val="26"/>
                      <w:szCs w:val="26"/>
                    </w:rPr>
                    <w:t>виду отсутствия необходимого количества кандидатов считать не состоявшимся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301AB8" w:rsidRDefault="00301AB8" w:rsidP="00BD43A6">
                  <w:pPr>
                    <w:tabs>
                      <w:tab w:val="left" w:pos="4590"/>
                    </w:tabs>
                    <w:ind w:right="17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Тестирование:</w:t>
                  </w:r>
                </w:p>
                <w:p w:rsidR="00301AB8" w:rsidRDefault="00301AB8" w:rsidP="00BD43A6">
                  <w:pPr>
                    <w:tabs>
                      <w:tab w:val="left" w:pos="4590"/>
                    </w:tabs>
                    <w:ind w:right="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Проводимое в ходе конкурсных процедур тестирование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состоится </w:t>
                  </w:r>
                  <w:r w:rsidR="00734FE0">
                    <w:rPr>
                      <w:rFonts w:ascii="Times New Roman" w:hAnsi="Times New Roman"/>
                      <w:color w:val="0000FF"/>
                      <w:sz w:val="26"/>
                      <w:szCs w:val="26"/>
                    </w:rPr>
                    <w:t>14 июля</w:t>
                  </w:r>
                  <w:r w:rsidR="00B339DC">
                    <w:rPr>
                      <w:rFonts w:ascii="Times New Roman" w:hAnsi="Times New Roman"/>
                      <w:color w:val="0000FF"/>
                      <w:sz w:val="26"/>
                      <w:szCs w:val="26"/>
                    </w:rPr>
                    <w:t xml:space="preserve"> 2022</w:t>
                  </w:r>
                  <w:r w:rsidRPr="00AE3473">
                    <w:rPr>
                      <w:rFonts w:ascii="Times New Roman" w:hAnsi="Times New Roman"/>
                      <w:color w:val="0000FF"/>
                      <w:sz w:val="26"/>
                      <w:szCs w:val="26"/>
                    </w:rPr>
                    <w:t xml:space="preserve"> года 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в 10 часов 00 минут по адресу: Походный пр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оезд, домовладение 3, комн. 4.48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, г. Москва, 125373, Межрайонная инспекция Федеральной налоговой службы по крупнейшим налогоплательщикам № 11.</w:t>
                  </w:r>
                </w:p>
                <w:p w:rsidR="00A36C82" w:rsidRDefault="00A36C82" w:rsidP="00BD43A6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</w:pPr>
                </w:p>
                <w:p w:rsidR="00301AB8" w:rsidRPr="00805948" w:rsidRDefault="00301AB8" w:rsidP="00BD43A6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И</w:t>
                  </w:r>
                  <w:r w:rsidRPr="0080594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ндивидуальное собеседование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 xml:space="preserve"> (второй этап конкурса)</w:t>
                  </w:r>
                </w:p>
                <w:tbl>
                  <w:tblPr>
                    <w:tblStyle w:val="ab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925"/>
                    <w:gridCol w:w="3516"/>
                  </w:tblGrid>
                  <w:tr w:rsidR="00301AB8" w:rsidTr="00362703">
                    <w:tc>
                      <w:tcPr>
                        <w:tcW w:w="4106" w:type="dxa"/>
                        <w:vAlign w:val="center"/>
                      </w:tcPr>
                      <w:p w:rsidR="00301AB8" w:rsidRPr="009A332B" w:rsidRDefault="00301AB8" w:rsidP="00BD43A6">
                        <w:pPr>
                          <w:framePr w:hSpace="180" w:wrap="around" w:vAnchor="text" w:hAnchor="margin" w:x="-284" w:y="5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Дата и время прове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дения второго этапа конкурса № </w:t>
                        </w:r>
                        <w:r w:rsidRPr="009A332B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</w:p>
                      <w:p w:rsidR="00301AB8" w:rsidRPr="00805948" w:rsidRDefault="00301AB8" w:rsidP="00BD43A6">
                        <w:pPr>
                          <w:framePr w:hSpace="180" w:wrap="around" w:vAnchor="text" w:hAnchor="margin" w:x="-284" w:y="5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(индивидуальное собеседование)</w: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:rsidR="00301AB8" w:rsidRPr="00D76438" w:rsidRDefault="00301AB8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Место проведения второго этапа конкурса №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16" w:type="dxa"/>
                        <w:vAlign w:val="center"/>
                      </w:tcPr>
                      <w:p w:rsidR="00301AB8" w:rsidRPr="00805948" w:rsidRDefault="00301AB8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Контактный телефон</w:t>
                        </w:r>
                      </w:p>
                    </w:tc>
                  </w:tr>
                  <w:tr w:rsidR="00301AB8" w:rsidTr="00362703">
                    <w:tc>
                      <w:tcPr>
                        <w:tcW w:w="4106" w:type="dxa"/>
                        <w:vAlign w:val="center"/>
                      </w:tcPr>
                      <w:p w:rsidR="00301AB8" w:rsidRDefault="00734FE0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FA"/>
                            <w:sz w:val="26"/>
                            <w:szCs w:val="26"/>
                          </w:rPr>
                          <w:t>20 июля</w:t>
                        </w:r>
                        <w:r w:rsidR="00B339DC">
                          <w:rPr>
                            <w:rFonts w:ascii="Times New Roman" w:hAnsi="Times New Roman"/>
                            <w:bCs/>
                            <w:color w:val="0000FA"/>
                            <w:sz w:val="26"/>
                            <w:szCs w:val="26"/>
                          </w:rPr>
                          <w:t xml:space="preserve"> 2022</w:t>
                        </w:r>
                        <w:r w:rsidR="00301AB8" w:rsidRPr="000140AF">
                          <w:rPr>
                            <w:rFonts w:ascii="Times New Roman" w:hAnsi="Times New Roman"/>
                            <w:bCs/>
                            <w:color w:val="0000FA"/>
                            <w:sz w:val="26"/>
                            <w:szCs w:val="26"/>
                          </w:rPr>
                          <w:t xml:space="preserve"> года</w:t>
                        </w:r>
                        <w:r w:rsidR="00301AB8" w:rsidRPr="000140AF">
                          <w:rPr>
                            <w:rFonts w:ascii="Times New Roman" w:hAnsi="Times New Roman"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 w:rsidR="00301AB8"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в 10-</w:t>
                        </w:r>
                        <w:r w:rsidR="00301AB8" w:rsidRPr="00AE3473"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00</w: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:rsidR="00301AB8" w:rsidRDefault="00301AB8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</w:pPr>
                        <w:r w:rsidRPr="00AE3473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Походный проезд, домовладение 3,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комн.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lastRenderedPageBreak/>
                          <w:t>4.48</w:t>
                        </w:r>
                        <w:r w:rsidRPr="00AE3473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, г. Москва, 125373,</w:t>
                        </w:r>
                      </w:p>
                    </w:tc>
                    <w:tc>
                      <w:tcPr>
                        <w:tcW w:w="3516" w:type="dxa"/>
                        <w:vAlign w:val="center"/>
                      </w:tcPr>
                      <w:p w:rsidR="00301AB8" w:rsidRDefault="00301AB8" w:rsidP="00BD43A6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lastRenderedPageBreak/>
                          <w:t>(495) 400-70-48</w:t>
                        </w:r>
                      </w:p>
                    </w:tc>
                  </w:tr>
                </w:tbl>
                <w:p w:rsidR="00301AB8" w:rsidRDefault="00301AB8" w:rsidP="00BD43A6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</w:pPr>
                </w:p>
                <w:p w:rsidR="00301AB8" w:rsidRPr="00F509CC" w:rsidRDefault="00301AB8" w:rsidP="00BD43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01AB8" w:rsidTr="00362703">
              <w:trPr>
                <w:trHeight w:val="3327"/>
              </w:trPr>
              <w:tc>
                <w:tcPr>
                  <w:tcW w:w="10773" w:type="dxa"/>
                </w:tcPr>
                <w:p w:rsidR="00301AB8" w:rsidRDefault="00301AB8" w:rsidP="00301AB8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D8712B" w:rsidRPr="00805948" w:rsidRDefault="00D8712B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604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31" w:rsidRDefault="00CE7E31" w:rsidP="00F509CC">
      <w:pPr>
        <w:spacing w:after="0" w:line="240" w:lineRule="auto"/>
      </w:pPr>
      <w:r>
        <w:separator/>
      </w:r>
    </w:p>
  </w:endnote>
  <w:endnote w:type="continuationSeparator" w:id="0">
    <w:p w:rsidR="00CE7E31" w:rsidRDefault="00CE7E31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31" w:rsidRDefault="00CE7E31" w:rsidP="00F509CC">
      <w:pPr>
        <w:spacing w:after="0" w:line="240" w:lineRule="auto"/>
      </w:pPr>
      <w:r>
        <w:separator/>
      </w:r>
    </w:p>
  </w:footnote>
  <w:footnote w:type="continuationSeparator" w:id="0">
    <w:p w:rsidR="00CE7E31" w:rsidRDefault="00CE7E31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CE"/>
    <w:multiLevelType w:val="hybridMultilevel"/>
    <w:tmpl w:val="2E5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986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B5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0D50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B9C"/>
    <w:multiLevelType w:val="hybridMultilevel"/>
    <w:tmpl w:val="33C8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434B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A35A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0E92"/>
    <w:multiLevelType w:val="hybridMultilevel"/>
    <w:tmpl w:val="F1FC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67BC0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748B2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E6D2D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E6A1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12801"/>
    <w:multiLevelType w:val="hybridMultilevel"/>
    <w:tmpl w:val="971486B8"/>
    <w:lvl w:ilvl="0" w:tplc="A29CD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3327D3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0EA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245C9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00EAB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62B8D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236FA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21"/>
  </w:num>
  <w:num w:numId="7">
    <w:abstractNumId w:val="8"/>
  </w:num>
  <w:num w:numId="8">
    <w:abstractNumId w:val="14"/>
  </w:num>
  <w:num w:numId="9">
    <w:abstractNumId w:val="0"/>
  </w:num>
  <w:num w:numId="10">
    <w:abstractNumId w:val="12"/>
  </w:num>
  <w:num w:numId="11">
    <w:abstractNumId w:val="4"/>
  </w:num>
  <w:num w:numId="12">
    <w:abstractNumId w:val="15"/>
  </w:num>
  <w:num w:numId="13">
    <w:abstractNumId w:val="1"/>
  </w:num>
  <w:num w:numId="14">
    <w:abstractNumId w:val="18"/>
  </w:num>
  <w:num w:numId="15">
    <w:abstractNumId w:val="19"/>
  </w:num>
  <w:num w:numId="16">
    <w:abstractNumId w:val="5"/>
  </w:num>
  <w:num w:numId="17">
    <w:abstractNumId w:val="13"/>
  </w:num>
  <w:num w:numId="18">
    <w:abstractNumId w:val="16"/>
  </w:num>
  <w:num w:numId="19">
    <w:abstractNumId w:val="20"/>
  </w:num>
  <w:num w:numId="20">
    <w:abstractNumId w:val="11"/>
  </w:num>
  <w:num w:numId="21">
    <w:abstractNumId w:val="3"/>
  </w:num>
  <w:num w:numId="22">
    <w:abstractNumId w:val="2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140AF"/>
    <w:rsid w:val="00052390"/>
    <w:rsid w:val="00056A5A"/>
    <w:rsid w:val="000634B4"/>
    <w:rsid w:val="00072DEC"/>
    <w:rsid w:val="00080FD6"/>
    <w:rsid w:val="000865BD"/>
    <w:rsid w:val="00096F92"/>
    <w:rsid w:val="0010185C"/>
    <w:rsid w:val="00112876"/>
    <w:rsid w:val="00132081"/>
    <w:rsid w:val="001441FF"/>
    <w:rsid w:val="00160B09"/>
    <w:rsid w:val="001B2489"/>
    <w:rsid w:val="001E49F8"/>
    <w:rsid w:val="00220B22"/>
    <w:rsid w:val="002311A2"/>
    <w:rsid w:val="00235F0D"/>
    <w:rsid w:val="00275C2D"/>
    <w:rsid w:val="002B2BFD"/>
    <w:rsid w:val="002D194E"/>
    <w:rsid w:val="002F7263"/>
    <w:rsid w:val="00301AB8"/>
    <w:rsid w:val="00350429"/>
    <w:rsid w:val="00363C85"/>
    <w:rsid w:val="00370435"/>
    <w:rsid w:val="003861D2"/>
    <w:rsid w:val="003938B8"/>
    <w:rsid w:val="003B154A"/>
    <w:rsid w:val="003D05F5"/>
    <w:rsid w:val="0042398C"/>
    <w:rsid w:val="0044527A"/>
    <w:rsid w:val="004952BA"/>
    <w:rsid w:val="004C559B"/>
    <w:rsid w:val="004E4F78"/>
    <w:rsid w:val="00513060"/>
    <w:rsid w:val="005262B0"/>
    <w:rsid w:val="005767DE"/>
    <w:rsid w:val="005815EB"/>
    <w:rsid w:val="0058561B"/>
    <w:rsid w:val="005B2369"/>
    <w:rsid w:val="005D5A67"/>
    <w:rsid w:val="005D623B"/>
    <w:rsid w:val="005E2450"/>
    <w:rsid w:val="00600679"/>
    <w:rsid w:val="00604452"/>
    <w:rsid w:val="00616130"/>
    <w:rsid w:val="006320D2"/>
    <w:rsid w:val="00644AED"/>
    <w:rsid w:val="006559F9"/>
    <w:rsid w:val="006D1D5E"/>
    <w:rsid w:val="006D33A3"/>
    <w:rsid w:val="006F1714"/>
    <w:rsid w:val="00712CEC"/>
    <w:rsid w:val="00734FE0"/>
    <w:rsid w:val="007B114D"/>
    <w:rsid w:val="007E6A03"/>
    <w:rsid w:val="007E7B64"/>
    <w:rsid w:val="00805948"/>
    <w:rsid w:val="00825701"/>
    <w:rsid w:val="008306F6"/>
    <w:rsid w:val="008621C6"/>
    <w:rsid w:val="0089357F"/>
    <w:rsid w:val="008B0346"/>
    <w:rsid w:val="008D16B9"/>
    <w:rsid w:val="008E7073"/>
    <w:rsid w:val="009057EC"/>
    <w:rsid w:val="00942FE4"/>
    <w:rsid w:val="00964137"/>
    <w:rsid w:val="00966E48"/>
    <w:rsid w:val="009A332B"/>
    <w:rsid w:val="009B31BC"/>
    <w:rsid w:val="009D56AD"/>
    <w:rsid w:val="00A13837"/>
    <w:rsid w:val="00A2267A"/>
    <w:rsid w:val="00A36C82"/>
    <w:rsid w:val="00A43EDF"/>
    <w:rsid w:val="00A55DCC"/>
    <w:rsid w:val="00A72C45"/>
    <w:rsid w:val="00A96030"/>
    <w:rsid w:val="00AA0DFF"/>
    <w:rsid w:val="00AB17C9"/>
    <w:rsid w:val="00AC3F05"/>
    <w:rsid w:val="00AC7733"/>
    <w:rsid w:val="00AE3473"/>
    <w:rsid w:val="00B150D3"/>
    <w:rsid w:val="00B24F80"/>
    <w:rsid w:val="00B339DC"/>
    <w:rsid w:val="00B60B58"/>
    <w:rsid w:val="00B8068D"/>
    <w:rsid w:val="00B84AED"/>
    <w:rsid w:val="00BA18CB"/>
    <w:rsid w:val="00BD11C1"/>
    <w:rsid w:val="00BD43A6"/>
    <w:rsid w:val="00BD5C8E"/>
    <w:rsid w:val="00BF1AAE"/>
    <w:rsid w:val="00C04E26"/>
    <w:rsid w:val="00C5181F"/>
    <w:rsid w:val="00C819E5"/>
    <w:rsid w:val="00C822C6"/>
    <w:rsid w:val="00C96DEE"/>
    <w:rsid w:val="00CC0E37"/>
    <w:rsid w:val="00CC4E1B"/>
    <w:rsid w:val="00CD719E"/>
    <w:rsid w:val="00CE7E31"/>
    <w:rsid w:val="00D17E4D"/>
    <w:rsid w:val="00D4579B"/>
    <w:rsid w:val="00D601FB"/>
    <w:rsid w:val="00D75A1C"/>
    <w:rsid w:val="00D76438"/>
    <w:rsid w:val="00D8712B"/>
    <w:rsid w:val="00D91C97"/>
    <w:rsid w:val="00DD6AD9"/>
    <w:rsid w:val="00E03DBE"/>
    <w:rsid w:val="00E6482B"/>
    <w:rsid w:val="00EB47A5"/>
    <w:rsid w:val="00EE00A7"/>
    <w:rsid w:val="00F509CC"/>
    <w:rsid w:val="00F60973"/>
    <w:rsid w:val="00F60BEB"/>
    <w:rsid w:val="00F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68F2F-08B4-448F-9D0E-276C29FB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B2A1-3E4B-4196-9F80-E9BB6BE6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Костров Дмитрий Александрович</cp:lastModifiedBy>
  <cp:revision>10</cp:revision>
  <cp:lastPrinted>2022-06-27T13:17:00Z</cp:lastPrinted>
  <dcterms:created xsi:type="dcterms:W3CDTF">2022-06-27T13:09:00Z</dcterms:created>
  <dcterms:modified xsi:type="dcterms:W3CDTF">2022-06-29T09:16:00Z</dcterms:modified>
</cp:coreProperties>
</file>