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B6" w:rsidRDefault="00074BB6">
      <w:pPr>
        <w:pStyle w:val="ConsPlusTitlePage"/>
      </w:pPr>
    </w:p>
    <w:p w:rsidR="00074BB6" w:rsidRDefault="00074BB6">
      <w:pPr>
        <w:pStyle w:val="ConsPlusTitle"/>
        <w:jc w:val="center"/>
        <w:outlineLvl w:val="0"/>
      </w:pPr>
      <w:r>
        <w:t>ФЕДЕРАЛЬНАЯ СЛУЖБА ПО ФИНАНСОВОМУ МОНИТОРИНГУ</w:t>
      </w:r>
    </w:p>
    <w:p w:rsidR="00074BB6" w:rsidRDefault="00074BB6">
      <w:pPr>
        <w:pStyle w:val="ConsPlusTitle"/>
        <w:jc w:val="both"/>
      </w:pPr>
    </w:p>
    <w:p w:rsidR="00074BB6" w:rsidRDefault="00074BB6">
      <w:pPr>
        <w:pStyle w:val="ConsPlusTitle"/>
        <w:jc w:val="center"/>
      </w:pPr>
      <w:r>
        <w:t>ИНФОРМАЦИОННОЕ ПИСЬМО</w:t>
      </w:r>
    </w:p>
    <w:p w:rsidR="00074BB6" w:rsidRDefault="00074BB6">
      <w:pPr>
        <w:pStyle w:val="ConsPlusTitle"/>
        <w:jc w:val="center"/>
      </w:pPr>
      <w:r>
        <w:t>от 12 декабря 2017 г. N 53</w:t>
      </w:r>
    </w:p>
    <w:p w:rsidR="00074BB6" w:rsidRDefault="00074BB6">
      <w:pPr>
        <w:pStyle w:val="ConsPlusTitle"/>
        <w:jc w:val="both"/>
      </w:pPr>
    </w:p>
    <w:p w:rsidR="00074BB6" w:rsidRDefault="00074BB6">
      <w:pPr>
        <w:pStyle w:val="ConsPlusTitle"/>
        <w:jc w:val="center"/>
      </w:pPr>
      <w:r>
        <w:t>О МЕТОДИЧЕСКИХ РЕКОМЕНДАЦИЯХ</w:t>
      </w:r>
    </w:p>
    <w:p w:rsidR="00074BB6" w:rsidRDefault="00074BB6">
      <w:pPr>
        <w:pStyle w:val="ConsPlusTitle"/>
        <w:jc w:val="center"/>
      </w:pPr>
      <w:r>
        <w:t>ПО ВЫЯВЛЕНИЮ ИНОСТРАННЫХ ПУБЛИЧНЫХ ДОЛЖНОСТНЫХ ЛИЦ,</w:t>
      </w:r>
    </w:p>
    <w:p w:rsidR="00074BB6" w:rsidRDefault="00074BB6">
      <w:pPr>
        <w:pStyle w:val="ConsPlusTitle"/>
        <w:jc w:val="center"/>
      </w:pPr>
      <w:r>
        <w:t>ДОЛЖНОСТНЫХ ЛИЦ ПУБЛИЧНЫХ МЕЖДУНАРОДНЫХ ОРГАНИЗАЦИЙ,</w:t>
      </w:r>
    </w:p>
    <w:p w:rsidR="00074BB6" w:rsidRDefault="00074BB6">
      <w:pPr>
        <w:pStyle w:val="ConsPlusTitle"/>
        <w:jc w:val="center"/>
      </w:pPr>
      <w:r>
        <w:t>А ТАКЖЕ РОССИЙСКИХ ПУБЛИЧНЫХ ДОЛЖНОСТНЫХ ЛИЦ</w:t>
      </w:r>
    </w:p>
    <w:p w:rsidR="00074BB6" w:rsidRDefault="00074BB6">
      <w:pPr>
        <w:pStyle w:val="ConsPlusTitle"/>
        <w:jc w:val="center"/>
      </w:pPr>
      <w:r>
        <w:t>ПРИ ИДЕНТИФИКАЦИИ КЛИЕНТОВ, ПРИНЯТИЮ ИХ НА ОБСЛУЖИВАНИЕ</w:t>
      </w:r>
    </w:p>
    <w:p w:rsidR="00074BB6" w:rsidRDefault="00074BB6">
      <w:pPr>
        <w:pStyle w:val="ConsPlusTitle"/>
        <w:jc w:val="center"/>
      </w:pPr>
      <w:r>
        <w:t>И УПРАВЛЕНИЮ РИСКАМИ ПРИ РАБОТЕ С УКАЗАННЫМИ ЛИЦАМИ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proofErr w:type="gramStart"/>
      <w:r w:rsidRPr="00074BB6">
        <w:t>Методические рекомендации</w:t>
      </w:r>
      <w:r>
        <w:t xml:space="preserve"> по выявлению иностранных публичных должностных лиц, должностных лиц публичных международных организаций, а также национальных публичных должностных лиц при идентификации клиентов, принятию их на обслуживание и управлению рисками при работе с указанными лицами (далее - Методические рекомендации) подготовлены </w:t>
      </w:r>
      <w:proofErr w:type="spellStart"/>
      <w:r>
        <w:t>Росфинмониторингом</w:t>
      </w:r>
      <w:proofErr w:type="spellEnd"/>
      <w:r>
        <w:t xml:space="preserve"> в целях оказания методической помощи субъектам первичного финансового мониторинга &lt;1&gt; по организации надлежащей системы внутреннего контроля субъекта.</w:t>
      </w:r>
      <w:proofErr w:type="gramEnd"/>
    </w:p>
    <w:p w:rsidR="00074BB6" w:rsidRDefault="00074B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 xml:space="preserve">Справка (1). </w:t>
      </w:r>
      <w:proofErr w:type="gramStart"/>
      <w:r>
        <w:t xml:space="preserve">Субъекты первичного финансового мониторинга - организации, осуществляющие операции с денежными средствами или иным имуществом, и индивидуальные предприниматели, перечисленные в </w:t>
      </w:r>
      <w:r w:rsidRPr="00074BB6">
        <w:t>статье 5</w:t>
      </w:r>
      <w:r>
        <w:t xml:space="preserve"> Федерального закона N 115-ФЗ от 07.08.2001 N 115-ФЗ "О противодействии легализации (отмыванию) доходов, полученных преступным путем, и финансированию терроризма" (за исключением организаций и индивидуальных предпринимателей, надзор за которыми в сфере противодействия легализации (отмыванию) доходов, полученных преступным путем, и финансированию терроризма</w:t>
      </w:r>
      <w:proofErr w:type="gramEnd"/>
      <w:r>
        <w:t xml:space="preserve"> осуществляет Банк России). Данные Методические рекомендации также могут использоваться адвокатами, нотариусами и лицами, осуществляющими предпринимательскую деятельность в сфере оказания юридических или бухгалтерских услуг, перечисленными в </w:t>
      </w:r>
      <w:r w:rsidRPr="00074BB6">
        <w:t xml:space="preserve">статье 7.1 </w:t>
      </w:r>
      <w:r>
        <w:t>Федерального закона N 115-ФЗ.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proofErr w:type="gramStart"/>
      <w:r>
        <w:t xml:space="preserve">Задача </w:t>
      </w:r>
      <w:r w:rsidRPr="00074BB6">
        <w:t xml:space="preserve">Методических рекомендаций </w:t>
      </w:r>
      <w:r>
        <w:t xml:space="preserve">- повышение эффективности процедур, проводимых субъектом первичного финансового мониторинга в рамках реализации программ идентификации клиентов (представителей клиентов, выгодоприобретателей, </w:t>
      </w:r>
      <w:proofErr w:type="spellStart"/>
      <w:r>
        <w:t>бенефициарных</w:t>
      </w:r>
      <w:proofErr w:type="spellEnd"/>
      <w:r>
        <w:t xml:space="preserve"> владельцев), а также оценки степени (уровня) риска совершения клиентом операций, связанных с легализацией (отмыванием) доходов, полученных преступным путем, и финансированием терроризма, по выявлению среди физических лиц, находящихся на обслуживании или принимаемых на обслуживание иностранных публичных должностных лиц, должностных лиц</w:t>
      </w:r>
      <w:proofErr w:type="gramEnd"/>
      <w:r>
        <w:t xml:space="preserve"> публичных международных организаций, национальных публичных должностных лиц, а также лиц, близких к таким публичным должностным лицам.</w:t>
      </w:r>
    </w:p>
    <w:p w:rsidR="00074BB6" w:rsidRDefault="00074BB6">
      <w:pPr>
        <w:pStyle w:val="ConsPlusNormal"/>
        <w:spacing w:before="220"/>
        <w:ind w:firstLine="540"/>
        <w:jc w:val="both"/>
      </w:pPr>
      <w:r w:rsidRPr="00074BB6">
        <w:t>Методические рекомендации</w:t>
      </w:r>
      <w:r>
        <w:t xml:space="preserve"> основаны на законодательстве в сфере противодействия отмыванию доходов, полученных преступным путем, действующем на момент их опубликования.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В случае изменения требований указанного законодательства Методические рекомендации применяются в части, не противоречащей вновь принятым нормативным правовым актам.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Title"/>
        <w:jc w:val="center"/>
        <w:outlineLvl w:val="0"/>
      </w:pPr>
      <w:bookmarkStart w:id="0" w:name="P25"/>
      <w:bookmarkEnd w:id="0"/>
      <w:r>
        <w:lastRenderedPageBreak/>
        <w:t>МЕТОДИЧЕСКИЕ РЕКОМЕНДАЦИИ</w:t>
      </w:r>
    </w:p>
    <w:p w:rsidR="00074BB6" w:rsidRDefault="00074BB6">
      <w:pPr>
        <w:pStyle w:val="ConsPlusTitle"/>
        <w:jc w:val="center"/>
      </w:pPr>
      <w:r>
        <w:t>ПО ВЫЯВЛЕНИЮ ИНОСТРАННЫХ ПУБЛИЧНЫХ ДОЛЖНОСТНЫХ ЛИЦ,</w:t>
      </w:r>
    </w:p>
    <w:p w:rsidR="00074BB6" w:rsidRDefault="00074BB6">
      <w:pPr>
        <w:pStyle w:val="ConsPlusTitle"/>
        <w:jc w:val="center"/>
      </w:pPr>
      <w:r>
        <w:t>ДОЛЖНОСТНЫХ ЛИЦ ПУБЛИЧНЫХ МЕЖДУНАРОДНЫХ ОРГАНИЗАЦИЙ,</w:t>
      </w:r>
    </w:p>
    <w:p w:rsidR="00074BB6" w:rsidRDefault="00074BB6">
      <w:pPr>
        <w:pStyle w:val="ConsPlusTitle"/>
        <w:jc w:val="center"/>
      </w:pPr>
      <w:r>
        <w:t>А ТАКЖЕ РОССИЙСКИХ ПУБЛИЧНЫХ ДОЛЖНОСТНЫХ ЛИЦ</w:t>
      </w:r>
    </w:p>
    <w:p w:rsidR="00074BB6" w:rsidRDefault="00074BB6">
      <w:pPr>
        <w:pStyle w:val="ConsPlusTitle"/>
        <w:jc w:val="center"/>
      </w:pPr>
      <w:r>
        <w:t>ПРИ ИДЕНТИФИКАЦИИ КЛИЕНТОВ, ПРИНЯТИЮ ИХ НА ОБСЛУЖИВАНИЕ</w:t>
      </w:r>
    </w:p>
    <w:p w:rsidR="00074BB6" w:rsidRDefault="00074BB6">
      <w:pPr>
        <w:pStyle w:val="ConsPlusTitle"/>
        <w:jc w:val="center"/>
      </w:pPr>
      <w:r>
        <w:t>И УПРАВЛЕНИЮ РИСКАМИ ПРИ РАБОТЕ С УКАЗАННЫМИ ЛИЦАМИ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предназначены для применения организациями, осуществляющими операции с денежными средствами или иным имуществом, и индивидуальными предпринимателями &lt;1&gt;, перечисленными в </w:t>
      </w:r>
      <w:r w:rsidRPr="00074BB6">
        <w:t>статье 5</w:t>
      </w:r>
      <w:r>
        <w:t xml:space="preserve"> Федерального закона N 115-ФЗ &lt;2&gt; (за исключением организаций и индивидуальных предпринимателей, надзор за которыми в сфере противодействия легализации (отмыванию) доходов, полученных преступным путем, и финансированию терроризма осуществляет Центральный банк Российской Федерации), в целях эффективного выявления среди своих</w:t>
      </w:r>
      <w:proofErr w:type="gramEnd"/>
      <w:r>
        <w:t xml:space="preserve"> клиентов - физических лиц, находящихся на обслуживании, иностранных публичных должностных лиц, должностных лиц публичных международных организаций, а также российских публичных должностных лиц.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4BB6" w:rsidRDefault="00074BB6">
      <w:pPr>
        <w:pStyle w:val="ConsPlusNormal"/>
        <w:spacing w:before="220"/>
        <w:ind w:firstLine="540"/>
        <w:jc w:val="both"/>
      </w:pPr>
      <w:proofErr w:type="gramStart"/>
      <w:r>
        <w:t>&lt;1&gt; Лизинговые компании; организации федеральной почтовой связи; организации, осуществляющие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</w:t>
      </w:r>
      <w:proofErr w:type="gramEnd"/>
      <w:r>
        <w:t xml:space="preserve"> </w:t>
      </w:r>
      <w:proofErr w:type="gramStart"/>
      <w:r>
        <w:t>организации,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форме; организации, оказывающие посреднические услуги при осуществлении сделок купли-продажи недвижимого имущества; операторы по приему платежей; коммерческие организации, заключающие договоры финансирования под уступку денежного требования в качестве финансовых агентов;</w:t>
      </w:r>
      <w:proofErr w:type="gramEnd"/>
      <w:r>
        <w:t xml:space="preserve"> операторы связи, имеющие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данных; индивидуальные предприниматели, осуществляющие скупку, куплю-продажу драгоценных металлов и драгоценных камней, ювелирных изделий из них и лома таких изделий, индивидуальные предприниматели, оказывающие посреднические услуги при осуществлении сделок купли-продажи недвижимого имущества (субъекты первичного финансового мониторинга).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r w:rsidRPr="00074BB6">
        <w:t>закон</w:t>
      </w:r>
      <w:r>
        <w:t xml:space="preserve">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r>
        <w:t xml:space="preserve">Данные Методические рекомендации также могут использоваться адвокатами, нотариусами и лицами, осуществляющими предпринимательскую деятельность в сфере оказания юридических или бухгалтерских услуг, перечисленными в </w:t>
      </w:r>
      <w:r w:rsidRPr="00074BB6">
        <w:t>статье 7.1</w:t>
      </w:r>
      <w:r>
        <w:t xml:space="preserve"> Федерального закона N 115-ФЗ.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Title"/>
        <w:jc w:val="center"/>
        <w:outlineLvl w:val="1"/>
      </w:pPr>
      <w:r>
        <w:t>I. Вводные положения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r>
        <w:t xml:space="preserve">В соответствии с требованиями </w:t>
      </w:r>
      <w:r w:rsidRPr="00074BB6">
        <w:t xml:space="preserve">статьи 7.3 </w:t>
      </w:r>
      <w:r>
        <w:t>Федерального закона N 115-ФЗ, организации, осуществляющие операции с денежными средствами или иным имуществом, и индивидуальные предприниматели &lt;3&gt; в дополнение к применяемым мерам по идентификации клиентов обязаны, в том числе: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lastRenderedPageBreak/>
        <w:t xml:space="preserve">&lt;3&gt; Субъекты, перечисленные в </w:t>
      </w:r>
      <w:r w:rsidRPr="00074BB6">
        <w:t>статье 5</w:t>
      </w:r>
      <w:r>
        <w:t xml:space="preserve"> Федерального закона N 115-ФЗ.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proofErr w:type="gramStart"/>
      <w:r>
        <w:t>1) принимать обоснованные и доступные в сложившихся обстоятельствах меры по выявлению среди физических лиц, находящихся на обслуживании или принимаемых на обслуживание, иностранных публичных должностных лиц, должностных лиц публичных международных организаций,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</w:t>
      </w:r>
      <w:proofErr w:type="gramEnd"/>
      <w:r>
        <w:t xml:space="preserve">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2) принимать на обслуживание иностранных публичных должностных лиц только на основании письменного решения руководителя организации, осуществляющей операции с денежными средствами или иным имуществом, либо его заместителя, а также руководителя обособленного подразделения организации, осуществляющей операции с денежными средствами или иным имуществом, которому руководителем указанной организации либо его заместителем делегированы соответствующие полномочия;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3)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4) на регулярной основе обновлять имеющуюся в распоряжении организации, осуществляющей операции с денежными средствами или иным имуществом, информацию о находящихся у них на обслуживании иностранных публичных должностных лицах;</w:t>
      </w:r>
    </w:p>
    <w:p w:rsidR="00074BB6" w:rsidRDefault="00074BB6">
      <w:pPr>
        <w:pStyle w:val="ConsPlusNormal"/>
        <w:spacing w:before="220"/>
        <w:ind w:firstLine="540"/>
        <w:jc w:val="both"/>
      </w:pPr>
      <w:proofErr w:type="gramStart"/>
      <w:r>
        <w:t xml:space="preserve">5) уделять повышенное внимание операциям с денежными средствами или иным имуществом, осуществляемым находящимися на обслуживании в организации, осуществляющей операции с денежными средствами или иным имуществом, иностранными публичными должностными лицами, их супругами,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t>неполнородными</w:t>
      </w:r>
      <w:proofErr w:type="spellEnd"/>
      <w:r>
        <w:t xml:space="preserve"> (имеющими общих отца или мать) братьями и сестрами, усыновителями и</w:t>
      </w:r>
      <w:proofErr w:type="gramEnd"/>
      <w:r>
        <w:t xml:space="preserve"> усыновленными) или от имени указанных лиц в случае, если они находятся на обслуживании в кредитной организации.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Title"/>
        <w:jc w:val="center"/>
        <w:outlineLvl w:val="1"/>
      </w:pPr>
      <w:r>
        <w:t>II. Категории публичных должностных лиц (ПДЛ),</w:t>
      </w:r>
    </w:p>
    <w:p w:rsidR="00074BB6" w:rsidRDefault="00074BB6">
      <w:pPr>
        <w:pStyle w:val="ConsPlusTitle"/>
        <w:jc w:val="center"/>
      </w:pPr>
      <w:r>
        <w:t>подлежащие выявлению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r>
        <w:t>1. Иностранное публичное должностное лицо (ИПДЛ) - это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предприятия, а именно: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Главы государств (в том числе правящие королевские династии) или правительств;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Министры, их заместители и помощники;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Высшие правительственные чиновники;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Руководители и заместители руководителей судебных органов власти "последней инстанции" (Верховный, Конституционный суд), на решение которых не подается апелляция;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lastRenderedPageBreak/>
        <w:t>- Государственный прокурор и его заместители;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Высшие военные чиновники (начальники генеральных штабов, верховные главнокомандующие и т.д.);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Руководители и члены Советов директоров Национальных Банков;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Послы;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Руководители государственных корпораций;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Члены Парламента или иного законодательного органа и т.д. &lt;4&gt;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4BB6" w:rsidRDefault="00074BB6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r w:rsidRPr="00074BB6">
        <w:t xml:space="preserve">Конвенция </w:t>
      </w:r>
      <w:r>
        <w:t>Организации Объединенных Наций против коррупции (принята в г. Нью-Йорке 31.10.2003) Резолюцией 58/4 на 51-м пленарном заседании 58-й сессии Генеральной Ассамблеи ООН).</w:t>
      </w:r>
      <w:proofErr w:type="gramEnd"/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r>
        <w:t>Необходимо учитывать, что вышеприведенный перечень должностей, по которым определяется принадлежность к ИПДЛ, не является исчерпывающим и может варьироваться в зависимости от государственного устройства той или иной страны.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Принадлежность лица к категории ИПДЛ определяется в соответствии с рекомендациями ФАТФ.</w:t>
      </w:r>
    </w:p>
    <w:p w:rsidR="00074BB6" w:rsidRDefault="00074BB6">
      <w:pPr>
        <w:pStyle w:val="ConsPlusNormal"/>
        <w:ind w:firstLine="540"/>
        <w:jc w:val="both"/>
      </w:pPr>
    </w:p>
    <w:p w:rsidR="00074BB6" w:rsidRDefault="00074BB6">
      <w:pPr>
        <w:pStyle w:val="ConsPlusNormal"/>
        <w:ind w:firstLine="540"/>
        <w:jc w:val="both"/>
      </w:pPr>
      <w:r>
        <w:t>2. Должностное лицо публичной международной организации (ПДЛМО) - лицо, которому доверены или были доверены важные функции международной организацией (за исключением руководителей среднего звена или лиц, занимающих более низкие позиции в указанной категории) &lt;5&gt;, в частности: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&lt;5&gt; Общий словарь к Рекомендациям Группы разработки финансовых мер по борьбе с отмыванием денег (ФАТФ).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r>
        <w:t>1. Руководители, заместители руководителей международных и наднациональных организаций: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Организация Объединенных Наций (ООН),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Организация экономического развития и сотрудничества (ОЭСР)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Экономический и Социальный Совет ООН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Организация стран - экспортеров нефти (ОПЕК)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Международный олимпийский комитет (МОК)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Всемирный банк (ВБ)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Международный валютный фонд (МВФ)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Европейская комиссия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Европейский центральный банк (ЕЦБ)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lastRenderedPageBreak/>
        <w:t>- Европарламент;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и др.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2. Руководители и члены международных и наднациональных судебных организаций: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Международный суд ООН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Европейский суд по правам человека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Суд Европейского союза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 и др.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Принадлежность лица к категории ПДЛМО определяется в соответствии с рекомендациями ФАТФ.</w:t>
      </w:r>
    </w:p>
    <w:p w:rsidR="00074BB6" w:rsidRDefault="00074BB6">
      <w:pPr>
        <w:pStyle w:val="ConsPlusNormal"/>
        <w:ind w:firstLine="540"/>
        <w:jc w:val="both"/>
      </w:pPr>
    </w:p>
    <w:p w:rsidR="00074BB6" w:rsidRDefault="00074BB6">
      <w:pPr>
        <w:pStyle w:val="ConsPlusNormal"/>
        <w:ind w:firstLine="540"/>
        <w:jc w:val="both"/>
      </w:pPr>
      <w:r>
        <w:t>3. Российские публичные должностные лица (РПДЛ)</w:t>
      </w:r>
    </w:p>
    <w:p w:rsidR="00074BB6" w:rsidRDefault="00074BB6">
      <w:pPr>
        <w:pStyle w:val="ConsPlusNormal"/>
        <w:spacing w:before="220"/>
        <w:ind w:firstLine="540"/>
        <w:jc w:val="both"/>
      </w:pPr>
      <w:proofErr w:type="gramStart"/>
      <w:r>
        <w:t>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  <w:proofErr w:type="gramEnd"/>
    </w:p>
    <w:p w:rsidR="00074BB6" w:rsidRDefault="00074BB6">
      <w:pPr>
        <w:pStyle w:val="ConsPlusNormal"/>
        <w:spacing w:before="220"/>
        <w:ind w:firstLine="540"/>
        <w:jc w:val="both"/>
      </w:pPr>
      <w:r>
        <w:t xml:space="preserve">В качестве источника информации в отношении государственных должностей Российской Федерации необходимо использовать </w:t>
      </w:r>
      <w:r w:rsidRPr="00074BB6">
        <w:t xml:space="preserve">Указ </w:t>
      </w:r>
      <w:r>
        <w:t>Президента Российской Федерации от 11.01.1995 N 32 "О государственных должностях Российской Федерации".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 xml:space="preserve">Информация о должностях </w:t>
      </w:r>
      <w:proofErr w:type="gramStart"/>
      <w:r>
        <w:t>членов Совета директоров Банка России</w:t>
      </w:r>
      <w:proofErr w:type="gramEnd"/>
      <w:r>
        <w:t xml:space="preserve"> размещена на официальном сайте Центрального банка Российской Федерации в информационно-телекоммуникационной сети "Интернет" (www.cbr.ru).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Субъекты первичного финансового мониторинга самостоятельно осуществляют мониторинг действующего законодательства Российской Федерации для определения должностей, относящихся к РПДЛ.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 xml:space="preserve">4. Лицо, связанное с ПДЛ - супруг или супруга ПДЛ, его близкий родственник (родственник по прямой восходящей и нисходящей линии (родители и дети, дедушки, бабушки и внуки), полнородный и </w:t>
      </w:r>
      <w:proofErr w:type="spellStart"/>
      <w:r>
        <w:t>неполнородный</w:t>
      </w:r>
      <w:proofErr w:type="spellEnd"/>
      <w:r>
        <w:t xml:space="preserve"> (имеющий общего отца или мать) брат и сестра, усыновитель и усыновленный).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Title"/>
        <w:jc w:val="center"/>
        <w:outlineLvl w:val="1"/>
      </w:pPr>
      <w:r>
        <w:t>III. Отдельные процедуры, используемые для выявления ПДЛ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r>
        <w:t>Выявлению подлежат ПДЛ из числа клиентов, как принимаемых на обслуживание, так и ранее принятых на обслуживание, вне зависимости от формы обслуживания &lt;6&gt;.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П</w:t>
      </w:r>
      <w:proofErr w:type="gramEnd"/>
      <w:r>
        <w:t>од "обслуживанием" необходимо понимать наличие гражданско-правовых отношений между лицом и субъектом первичного финансового мониторинга, в которых последний обязан совершить в пользу другого лица определенное действие в соответствии с заключенным между сторонами договором, а именно передать имущество, выполнить работу, оказать услугу и т.д.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r>
        <w:t>Следует учитывать, что выявление ПДЛ осуществляется как при совершении разовых операций (сделок), так и при установлении деловых отношений, предполагающих осуществление более чем одной операции (сделки).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Для выявления ПДЛ рекомендуется следующее: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Title"/>
        <w:ind w:firstLine="540"/>
        <w:jc w:val="both"/>
        <w:outlineLvl w:val="2"/>
      </w:pPr>
      <w:r>
        <w:t>1. Анкетирование и устный опрос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При проведении идентификации клиента до приема на обслуживание либо при обновлении сведений о лице, уже находящемся на обслуживании, клиенту (представителю клиента) предоставляется анкета для самостоятельного заполнения &lt;7&gt;.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4BB6" w:rsidRDefault="00074BB6">
      <w:pPr>
        <w:pStyle w:val="ConsPlusNormal"/>
        <w:spacing w:before="220"/>
        <w:ind w:firstLine="540"/>
        <w:jc w:val="both"/>
      </w:pPr>
      <w:proofErr w:type="gramStart"/>
      <w:r>
        <w:t xml:space="preserve">&lt;7&gt; Анкета, а также способы ее формирования разрабатываются субъектом первичного финансового мониторинга самостоятельно в зависимости от характера осуществляемой деятельности, интенсивности работы с клиентами, в соответствии с Федеральным </w:t>
      </w:r>
      <w:r w:rsidRPr="00074BB6">
        <w:t>законом</w:t>
      </w:r>
      <w:r>
        <w:t xml:space="preserve"> N 115-ФЗ, а также </w:t>
      </w:r>
      <w:r w:rsidRPr="00074BB6">
        <w:t>Положения</w:t>
      </w:r>
      <w:r>
        <w:t xml:space="preserve"> о требованиях к идентификации клиентов и выгодоприобретателей, в том числе с учетом степени (уровня) риска совершения клиентом операций в целях легализации (отмывания) доходов, полученных преступным путем, и</w:t>
      </w:r>
      <w:proofErr w:type="gramEnd"/>
      <w:r>
        <w:t xml:space="preserve"> финансирования терроризма, и утверждаются Правилами внутреннего контроля субъекта первичного финансового мониторинга.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r>
        <w:t>В составе анкеты предусматриваются специальные поля, в которых клиент (представитель клиента) самостоятельно проставляет отметку о его принадлежности к ПДЛ (лицам, связанным с ПДЛ) либо об отсутствии таковой.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После заполнения анкеты клиенту в рамках устного опроса задаются уточняющие вопросы относительно его возможной принадлежности к категории ПДЛ или лицам, связанным с ПДЛ. При этом разъясняется порядок отнесения лица к ПДЛ, например, посредством предоставления справочных материалов относительно содержания понятий ИПДЛ, ПДЛМО и РПДЛ, а также лиц, связанных с ПДЛ.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Title"/>
        <w:ind w:firstLine="540"/>
        <w:jc w:val="both"/>
        <w:outlineLvl w:val="2"/>
      </w:pPr>
      <w:r>
        <w:t>2. Проверка по общедоступным информационным ресурсам и коммерческим базам данных</w:t>
      </w:r>
    </w:p>
    <w:p w:rsidR="00074BB6" w:rsidRDefault="00074BB6">
      <w:pPr>
        <w:pStyle w:val="ConsPlusNormal"/>
        <w:spacing w:before="220"/>
        <w:ind w:firstLine="540"/>
        <w:jc w:val="both"/>
      </w:pPr>
      <w:proofErr w:type="gramStart"/>
      <w:r>
        <w:t xml:space="preserve">В целях верификации данных, сформированных по результатам анкетирования и устного опроса, субъект первичного финансового мониторинга обращается к общедоступной информации, размещаемой органами государственной власти Российской Федерации и органами государственной власти иностранных государств на их официальных сайтах в информационно-телекоммуникационной сети "Интернет", анализирует информацию российских и иностранных компаний, предлагающих информационные продукты, таких как, например, </w:t>
      </w:r>
      <w:proofErr w:type="spellStart"/>
      <w:r>
        <w:t>Dow</w:t>
      </w:r>
      <w:proofErr w:type="spellEnd"/>
      <w:r>
        <w:t xml:space="preserve"> </w:t>
      </w:r>
      <w:proofErr w:type="spellStart"/>
      <w:r>
        <w:t>Jones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(</w:t>
      </w:r>
      <w:proofErr w:type="spellStart"/>
      <w:r>
        <w:t>Factiva</w:t>
      </w:r>
      <w:proofErr w:type="spellEnd"/>
      <w:r>
        <w:t>), информационное агентство ЗАО</w:t>
      </w:r>
      <w:proofErr w:type="gramEnd"/>
      <w:r>
        <w:t xml:space="preserve"> "Интерфакс" (система СПАРК, "Центр раскрытия корпоративной информации"), акционерное общество "</w:t>
      </w:r>
      <w:proofErr w:type="spellStart"/>
      <w:r>
        <w:t>Финмаркет</w:t>
      </w:r>
      <w:proofErr w:type="spellEnd"/>
      <w:r>
        <w:t>" ("X-</w:t>
      </w:r>
      <w:proofErr w:type="spellStart"/>
      <w:r>
        <w:t>Compliance</w:t>
      </w:r>
      <w:proofErr w:type="spellEnd"/>
      <w:r>
        <w:t xml:space="preserve">"), ООО "Интерфакс - </w:t>
      </w:r>
      <w:proofErr w:type="spellStart"/>
      <w:r>
        <w:t>Ди</w:t>
      </w:r>
      <w:proofErr w:type="spellEnd"/>
      <w:r>
        <w:t xml:space="preserve"> энд Би" (система DBAI, GRS, отчеты "Знай своего клиента"), ЗАО "СКРИН", а также иные источники информации, доступные организациям на законных основаниях.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Меры по выявлению непосредственно ПДЛ аналогичным образом применяются в целях выявления лиц, связанных с ПДЛ.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Title"/>
        <w:jc w:val="center"/>
        <w:outlineLvl w:val="1"/>
      </w:pPr>
      <w:r>
        <w:t>IV. Особенности принятия ПДЛ на обслуживание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r>
        <w:t xml:space="preserve">В настоящее время </w:t>
      </w:r>
      <w:proofErr w:type="spellStart"/>
      <w:r w:rsidRPr="00074BB6">
        <w:t>пп</w:t>
      </w:r>
      <w:proofErr w:type="spellEnd"/>
      <w:r w:rsidRPr="00074BB6">
        <w:t xml:space="preserve">. 2 п. 1 ст. 7.3 </w:t>
      </w:r>
      <w:r>
        <w:t xml:space="preserve">Федерального закона N 115-ФЗ предусмотрена обязанность принимать на обслуживание иностранных публичных должностных лиц только на основании письменного решения руководителя организации, осуществляющей операции с </w:t>
      </w:r>
      <w:r>
        <w:lastRenderedPageBreak/>
        <w:t>денежными средствами или иным имуществом, либо его заместителя, а также руководителя обособленного подразделения организации, осуществляющей операции с денежными средствами или иным имуществом, которому руководителем указанной организации либо его заместителем делегированы соответствующие полномочия (далее - уполномоченное должностное лицо).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При этом аналогичное требование распространяется также на ПДЛМО и РПДЛ в случае, если финансовым операциям таких клиентов присвоена высокая степень (уровень) риска совершения таких операций в целях легализации (отмывания) доходов, полученных преступным путем, или финансирования терроризма.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 xml:space="preserve">Указанный порядок разрабатывается субъектом первичного финансового мониторинга самостоятельно и закрепляется в программе идентификации клиентов, представителей клиентов и (или) выгодоприобретателей, а также </w:t>
      </w:r>
      <w:proofErr w:type="spellStart"/>
      <w:r>
        <w:t>бенефициарных</w:t>
      </w:r>
      <w:proofErr w:type="spellEnd"/>
      <w:r>
        <w:t xml:space="preserve"> владельцев, предусмотренной в правилах внутреннего контроля &lt;8&gt;.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 xml:space="preserve">&lt;8&gt; Правила внутреннего контроля субъекта первичного финансового мониторинга разрабатываются в соответствии с </w:t>
      </w:r>
      <w:r w:rsidRPr="00074BB6">
        <w:t>Требованиями</w:t>
      </w:r>
      <w:r>
        <w:t xml:space="preserve">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и о признании утратившими силу некоторых актов Правительства Российской Федерации, утв. постановлением Правительства РФ от 30.06.2012 N 667.</w:t>
      </w:r>
    </w:p>
    <w:p w:rsidR="00074BB6" w:rsidRDefault="00074BB6">
      <w:pPr>
        <w:pStyle w:val="ConsPlusNormal"/>
        <w:ind w:firstLine="540"/>
        <w:jc w:val="both"/>
      </w:pPr>
    </w:p>
    <w:p w:rsidR="00074BB6" w:rsidRDefault="00074BB6">
      <w:pPr>
        <w:pStyle w:val="ConsPlusNormal"/>
        <w:ind w:firstLine="540"/>
        <w:jc w:val="both"/>
      </w:pPr>
      <w:r>
        <w:t>В рамках указанной программы должна быть разработана форма письменного документа, в которой будет фиксироваться решение уполномоченного должностного лица о принятии/непринятии ПДЛ на обслуживание. При этом следует отметить, что отказ клиенту в принятии на обслуживание только по причине его отнесения к категории ПДЛ не допускается.</w:t>
      </w:r>
    </w:p>
    <w:p w:rsidR="00074BB6" w:rsidRDefault="00074BB6">
      <w:pPr>
        <w:pStyle w:val="ConsPlusNormal"/>
        <w:spacing w:before="220"/>
        <w:ind w:firstLine="540"/>
        <w:jc w:val="both"/>
      </w:pPr>
      <w:r>
        <w:t>Меры по принятию на обслуживание непосредственно ПДЛ аналогичным образом применяются в целях принятия на обслуживание лиц, связанных с ПДЛ.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Title"/>
        <w:jc w:val="center"/>
        <w:outlineLvl w:val="1"/>
      </w:pPr>
      <w:r>
        <w:t>V. Представление сведений об операциях ПДЛ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ind w:firstLine="540"/>
        <w:jc w:val="both"/>
      </w:pPr>
      <w:proofErr w:type="gramStart"/>
      <w:r>
        <w:t xml:space="preserve">В случае выявления операций с участием ПДЛ и связанных с ними лицами, в отношении которых возникают подозрения, что они осуществляются в целях легализации (отмывания) доходов, полученных преступным путем, или финансирования терроризма, субъект первичного финансового мониторинга не позднее трех рабочих дней, следующих за днем выявления таких операций, обязан направить в </w:t>
      </w:r>
      <w:proofErr w:type="spellStart"/>
      <w:r>
        <w:t>Росфинмониторинг</w:t>
      </w:r>
      <w:proofErr w:type="spellEnd"/>
      <w:r>
        <w:t xml:space="preserve"> сведения о таких операциях независимо от того, относятся или не</w:t>
      </w:r>
      <w:proofErr w:type="gramEnd"/>
      <w:r>
        <w:t xml:space="preserve"> относятся они к операциям, предусмотренным </w:t>
      </w:r>
      <w:r w:rsidRPr="00074BB6">
        <w:t xml:space="preserve">статьей 6 </w:t>
      </w:r>
      <w:r>
        <w:t>Федерального закона N 115-ФЗ.</w:t>
      </w:r>
    </w:p>
    <w:p w:rsidR="00074BB6" w:rsidRDefault="00074BB6">
      <w:pPr>
        <w:pStyle w:val="ConsPlusNormal"/>
        <w:spacing w:before="220"/>
        <w:ind w:firstLine="540"/>
        <w:jc w:val="both"/>
      </w:pPr>
      <w:proofErr w:type="gramStart"/>
      <w:r>
        <w:t xml:space="preserve">Указанные сведения подлежат представлению в порядке, установленном </w:t>
      </w:r>
      <w:r w:rsidRPr="00074BB6">
        <w:t>Инструкцией</w:t>
      </w:r>
      <w:r>
        <w:t xml:space="preserve"> о представлении в Федеральную службу по финансовому мониторингу информации, предусмотренной Федеральным </w:t>
      </w:r>
      <w:r w:rsidRPr="00074BB6">
        <w:t>законом</w:t>
      </w:r>
      <w:r>
        <w:t xml:space="preserve"> от 7 августа 2001 г. N 115-ФЗ "О противодействии легализации (отмыванию) доходов, полученных преступным путем, и финансированию терроризма", утвержденной приказом </w:t>
      </w:r>
      <w:proofErr w:type="spellStart"/>
      <w:r>
        <w:t>Росфинмониторинга</w:t>
      </w:r>
      <w:proofErr w:type="spellEnd"/>
      <w:r>
        <w:t xml:space="preserve"> от 22.04.2016 N 110, в формате сообщения </w:t>
      </w:r>
      <w:r w:rsidRPr="00074BB6">
        <w:t xml:space="preserve">ФЭС 1-ФМ </w:t>
      </w:r>
      <w:r>
        <w:t>с основным кодом вида операции 6001 и указанием кода признака</w:t>
      </w:r>
      <w:proofErr w:type="gramEnd"/>
      <w:r>
        <w:t xml:space="preserve"> необычной операции (сделки), соответствующим критерию или признаку необычной сделки в соответствии с </w:t>
      </w:r>
      <w:r w:rsidRPr="00074BB6">
        <w:t>приказом</w:t>
      </w:r>
      <w:r>
        <w:t xml:space="preserve"> </w:t>
      </w:r>
      <w:proofErr w:type="spellStart"/>
      <w:r>
        <w:t>Росфинмониторинга</w:t>
      </w:r>
      <w:proofErr w:type="spellEnd"/>
      <w:r>
        <w:t xml:space="preserve"> от 8 мая 2009 г. N 103 "Об утверждении Рекомендаций по разработке критериев выявления и определению признаков необычных сделок".</w:t>
      </w:r>
    </w:p>
    <w:p w:rsidR="00074BB6" w:rsidRDefault="00074BB6">
      <w:pPr>
        <w:pStyle w:val="ConsPlusNormal"/>
        <w:jc w:val="both"/>
      </w:pPr>
    </w:p>
    <w:p w:rsidR="00074BB6" w:rsidRDefault="00074B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074BB6" w:rsidSect="0076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B6"/>
    <w:rsid w:val="00074BB6"/>
    <w:rsid w:val="007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Какаркин Кирилл Владимирович</dc:creator>
  <cp:lastModifiedBy>Какаркин Кирилл Владимирович</cp:lastModifiedBy>
  <cp:revision>1</cp:revision>
  <dcterms:created xsi:type="dcterms:W3CDTF">2018-03-06T14:26:00Z</dcterms:created>
  <dcterms:modified xsi:type="dcterms:W3CDTF">2018-03-06T14:32:00Z</dcterms:modified>
</cp:coreProperties>
</file>