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С внедрением Единого налогового счета мы не только 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Налоговая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СВ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того,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>по сути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>Если Единого платежа не хватит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из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 xml:space="preserve">Да, в течении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о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камералку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погашены исходя из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разруливание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из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lastRenderedPageBreak/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определением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Как будут поступать в бюджеты денежные средства по налогам, имеющим авансовые платежи (платежи, уплачиваемые ранее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>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>отличаются от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>Будет ли считаться недоимкой ситуация, когда уведомление об исчисленном налоге подано позже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2B" w:rsidRDefault="0072082B" w:rsidP="006A2C9F">
      <w:r>
        <w:separator/>
      </w:r>
    </w:p>
  </w:endnote>
  <w:endnote w:type="continuationSeparator" w:id="0">
    <w:p w:rsidR="0072082B" w:rsidRDefault="0072082B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2B" w:rsidRDefault="0072082B" w:rsidP="006A2C9F">
      <w:r>
        <w:separator/>
      </w:r>
    </w:p>
  </w:footnote>
  <w:footnote w:type="continuationSeparator" w:id="0">
    <w:p w:rsidR="0072082B" w:rsidRDefault="0072082B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 w15:restartNumberingAfterBreak="0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 w15:restartNumberingAfterBreak="0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082B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EF550A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B30B3-F4FA-4CB0-B685-CC22C30A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8C32-7823-4490-8696-ECE6CE72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Orlov, Mikhail</dc:creator>
  <cp:lastModifiedBy>Трофимова Наталья Леонидовна</cp:lastModifiedBy>
  <cp:revision>2</cp:revision>
  <cp:lastPrinted>2022-04-29T12:38:00Z</cp:lastPrinted>
  <dcterms:created xsi:type="dcterms:W3CDTF">2022-05-05T10:11:00Z</dcterms:created>
  <dcterms:modified xsi:type="dcterms:W3CDTF">2022-05-05T10:11:00Z</dcterms:modified>
</cp:coreProperties>
</file>