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65" w:rsidRPr="00DB2C68" w:rsidRDefault="00F617C6" w:rsidP="00410865">
      <w:pPr>
        <w:tabs>
          <w:tab w:val="left" w:pos="6764"/>
          <w:tab w:val="left" w:pos="7088"/>
          <w:tab w:val="right" w:pos="9355"/>
        </w:tabs>
        <w:spacing w:line="240" w:lineRule="auto"/>
        <w:ind w:left="12036"/>
        <w:contextualSpacing/>
        <w:rPr>
          <w:rFonts w:ascii="Times New Roman" w:hAnsi="Times New Roman"/>
          <w:sz w:val="20"/>
          <w:szCs w:val="20"/>
        </w:rPr>
      </w:pPr>
      <w:r w:rsidRPr="00DB2C68">
        <w:rPr>
          <w:rFonts w:ascii="Times New Roman" w:hAnsi="Times New Roman" w:cs="Times New Roman"/>
          <w:sz w:val="20"/>
          <w:szCs w:val="20"/>
        </w:rPr>
        <w:t xml:space="preserve"> </w:t>
      </w:r>
      <w:r w:rsidR="00410865" w:rsidRPr="00DB2C68">
        <w:rPr>
          <w:rFonts w:ascii="Times New Roman" w:hAnsi="Times New Roman"/>
          <w:sz w:val="20"/>
          <w:szCs w:val="20"/>
        </w:rPr>
        <w:t>Приложение № 2</w:t>
      </w:r>
    </w:p>
    <w:p w:rsidR="00403C5F" w:rsidRDefault="00403C5F" w:rsidP="00410865">
      <w:pPr>
        <w:tabs>
          <w:tab w:val="left" w:pos="7149"/>
          <w:tab w:val="right" w:pos="9355"/>
        </w:tabs>
        <w:spacing w:line="240" w:lineRule="auto"/>
        <w:ind w:left="12049"/>
        <w:contextualSpacing/>
        <w:rPr>
          <w:rFonts w:ascii="Times New Roman" w:hAnsi="Times New Roman"/>
          <w:sz w:val="20"/>
          <w:szCs w:val="20"/>
        </w:rPr>
      </w:pPr>
    </w:p>
    <w:p w:rsidR="00403C5F" w:rsidRDefault="00403C5F" w:rsidP="00410865">
      <w:pPr>
        <w:tabs>
          <w:tab w:val="left" w:pos="7149"/>
          <w:tab w:val="right" w:pos="9355"/>
        </w:tabs>
        <w:spacing w:line="240" w:lineRule="auto"/>
        <w:ind w:left="12049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УТВЕРЖДЕН</w:t>
      </w:r>
    </w:p>
    <w:p w:rsidR="00410865" w:rsidRPr="00DB2C68" w:rsidRDefault="00403C5F" w:rsidP="00410865">
      <w:pPr>
        <w:tabs>
          <w:tab w:val="left" w:pos="7149"/>
          <w:tab w:val="right" w:pos="9355"/>
        </w:tabs>
        <w:spacing w:line="240" w:lineRule="auto"/>
        <w:ind w:left="12049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410865" w:rsidRPr="00DB2C68">
        <w:rPr>
          <w:rFonts w:ascii="Times New Roman" w:hAnsi="Times New Roman"/>
          <w:sz w:val="20"/>
          <w:szCs w:val="20"/>
        </w:rPr>
        <w:t>риказ</w:t>
      </w:r>
      <w:r>
        <w:rPr>
          <w:rFonts w:ascii="Times New Roman" w:hAnsi="Times New Roman"/>
          <w:sz w:val="20"/>
          <w:szCs w:val="20"/>
        </w:rPr>
        <w:t>ом</w:t>
      </w:r>
      <w:r w:rsidR="00410865" w:rsidRPr="00DB2C68">
        <w:rPr>
          <w:rFonts w:ascii="Times New Roman" w:hAnsi="Times New Roman"/>
          <w:sz w:val="20"/>
          <w:szCs w:val="20"/>
        </w:rPr>
        <w:t xml:space="preserve"> ФНС России</w:t>
      </w:r>
    </w:p>
    <w:p w:rsidR="00410865" w:rsidRPr="00DB2C68" w:rsidRDefault="00410865" w:rsidP="00410865">
      <w:pPr>
        <w:tabs>
          <w:tab w:val="left" w:pos="7149"/>
          <w:tab w:val="right" w:pos="9355"/>
        </w:tabs>
        <w:spacing w:line="240" w:lineRule="auto"/>
        <w:ind w:left="12049"/>
        <w:contextualSpacing/>
        <w:rPr>
          <w:rFonts w:ascii="Times New Roman" w:hAnsi="Times New Roman"/>
          <w:sz w:val="20"/>
          <w:szCs w:val="20"/>
        </w:rPr>
      </w:pPr>
      <w:r w:rsidRPr="00DB2C68">
        <w:rPr>
          <w:rFonts w:ascii="Times New Roman" w:hAnsi="Times New Roman"/>
          <w:sz w:val="20"/>
          <w:szCs w:val="20"/>
        </w:rPr>
        <w:t xml:space="preserve">от </w:t>
      </w:r>
      <w:r w:rsidR="003803B7" w:rsidRPr="003803B7">
        <w:rPr>
          <w:rFonts w:ascii="Times New Roman" w:hAnsi="Times New Roman"/>
          <w:sz w:val="20"/>
          <w:szCs w:val="20"/>
          <w:u w:val="single"/>
        </w:rPr>
        <w:t xml:space="preserve">28 июля </w:t>
      </w:r>
      <w:r w:rsidRPr="003803B7">
        <w:rPr>
          <w:rFonts w:ascii="Times New Roman" w:hAnsi="Times New Roman"/>
          <w:sz w:val="20"/>
          <w:szCs w:val="20"/>
          <w:u w:val="single"/>
        </w:rPr>
        <w:t>2017 г.</w:t>
      </w:r>
    </w:p>
    <w:p w:rsidR="00410865" w:rsidRPr="003803B7" w:rsidRDefault="00410865" w:rsidP="00410865">
      <w:pPr>
        <w:tabs>
          <w:tab w:val="left" w:pos="11340"/>
          <w:tab w:val="left" w:pos="114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B2C68">
        <w:rPr>
          <w:rFonts w:ascii="Times New Roman" w:hAnsi="Times New Roman"/>
          <w:sz w:val="20"/>
          <w:szCs w:val="20"/>
        </w:rPr>
        <w:tab/>
      </w:r>
      <w:r w:rsidRPr="00DB2C68">
        <w:rPr>
          <w:rFonts w:ascii="Times New Roman" w:hAnsi="Times New Roman"/>
          <w:sz w:val="20"/>
          <w:szCs w:val="20"/>
        </w:rPr>
        <w:tab/>
      </w:r>
      <w:r w:rsidRPr="00DB2C68">
        <w:rPr>
          <w:rFonts w:ascii="Times New Roman" w:hAnsi="Times New Roman"/>
          <w:sz w:val="20"/>
          <w:szCs w:val="20"/>
        </w:rPr>
        <w:tab/>
        <w:t xml:space="preserve">№ </w:t>
      </w:r>
      <w:r w:rsidR="003803B7" w:rsidRPr="003803B7">
        <w:rPr>
          <w:rFonts w:ascii="Times New Roman" w:hAnsi="Times New Roman"/>
          <w:sz w:val="20"/>
          <w:szCs w:val="20"/>
          <w:u w:val="single"/>
        </w:rPr>
        <w:t>ММВ-7-17/592</w:t>
      </w:r>
      <w:r w:rsidR="003803B7" w:rsidRPr="003803B7">
        <w:rPr>
          <w:rFonts w:ascii="Times New Roman" w:hAnsi="Times New Roman"/>
          <w:sz w:val="20"/>
          <w:szCs w:val="20"/>
          <w:u w:val="single"/>
          <w:lang w:val="en-US"/>
        </w:rPr>
        <w:t>@</w:t>
      </w:r>
    </w:p>
    <w:p w:rsidR="00410865" w:rsidRDefault="00410865" w:rsidP="00622A4F">
      <w:pPr>
        <w:tabs>
          <w:tab w:val="left" w:pos="50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A4F" w:rsidRPr="00410865" w:rsidRDefault="00622A4F" w:rsidP="00622A4F">
      <w:pPr>
        <w:tabs>
          <w:tab w:val="left" w:pos="50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865">
        <w:rPr>
          <w:rFonts w:ascii="Times New Roman" w:hAnsi="Times New Roman" w:cs="Times New Roman"/>
          <w:b/>
          <w:sz w:val="24"/>
          <w:szCs w:val="24"/>
        </w:rPr>
        <w:t>План работы ФНС Росси</w:t>
      </w:r>
      <w:r w:rsidR="00410865" w:rsidRPr="00410865">
        <w:rPr>
          <w:rFonts w:ascii="Times New Roman" w:hAnsi="Times New Roman" w:cs="Times New Roman"/>
          <w:b/>
          <w:sz w:val="24"/>
          <w:szCs w:val="24"/>
        </w:rPr>
        <w:t>и с референтными группами в 2017 - 2018 г</w:t>
      </w:r>
      <w:r w:rsidR="003F4CF1">
        <w:rPr>
          <w:rFonts w:ascii="Times New Roman" w:hAnsi="Times New Roman" w:cs="Times New Roman"/>
          <w:b/>
          <w:sz w:val="24"/>
          <w:szCs w:val="24"/>
        </w:rPr>
        <w:t>одах</w:t>
      </w:r>
    </w:p>
    <w:tbl>
      <w:tblPr>
        <w:tblStyle w:val="a3"/>
        <w:tblW w:w="15751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1873"/>
        <w:gridCol w:w="1247"/>
        <w:gridCol w:w="2268"/>
        <w:gridCol w:w="1991"/>
        <w:gridCol w:w="2541"/>
        <w:gridCol w:w="1845"/>
        <w:gridCol w:w="1561"/>
        <w:gridCol w:w="7"/>
        <w:gridCol w:w="1715"/>
      </w:tblGrid>
      <w:tr w:rsidR="00E135A6" w:rsidRPr="00622A4F" w:rsidTr="00410865">
        <w:trPr>
          <w:trHeight w:val="70"/>
          <w:jc w:val="center"/>
        </w:trPr>
        <w:tc>
          <w:tcPr>
            <w:tcW w:w="703" w:type="dxa"/>
            <w:vMerge w:val="restart"/>
            <w:shd w:val="clear" w:color="auto" w:fill="auto"/>
          </w:tcPr>
          <w:p w:rsidR="00C03DD0" w:rsidRPr="00853982" w:rsidRDefault="00C03DD0" w:rsidP="00622A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398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C03DD0" w:rsidRPr="00853982" w:rsidRDefault="00C03DD0" w:rsidP="00622A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398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73" w:type="dxa"/>
            <w:vMerge w:val="restart"/>
            <w:shd w:val="clear" w:color="auto" w:fill="auto"/>
          </w:tcPr>
          <w:p w:rsidR="00C03DD0" w:rsidRPr="00853982" w:rsidRDefault="00C03DD0" w:rsidP="00622A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3982">
              <w:rPr>
                <w:rFonts w:ascii="Times New Roman" w:hAnsi="Times New Roman" w:cs="Times New Roman"/>
                <w:sz w:val="20"/>
                <w:szCs w:val="20"/>
              </w:rPr>
              <w:t xml:space="preserve">Предмет взаимодействия 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C03DD0" w:rsidRPr="00853982" w:rsidRDefault="00C03DD0" w:rsidP="00622A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3982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  <w:p w:rsidR="00C03DD0" w:rsidRPr="00E14DA0" w:rsidRDefault="00C03DD0" w:rsidP="00622A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C03DD0" w:rsidRPr="00853982" w:rsidRDefault="00C03DD0" w:rsidP="00622A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3982">
              <w:rPr>
                <w:rFonts w:ascii="Times New Roman" w:hAnsi="Times New Roman" w:cs="Times New Roman"/>
                <w:sz w:val="20"/>
                <w:szCs w:val="20"/>
              </w:rPr>
              <w:t>Референтные</w:t>
            </w:r>
          </w:p>
          <w:p w:rsidR="00C03DD0" w:rsidRPr="00853982" w:rsidRDefault="00C03DD0" w:rsidP="00622A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3982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C03DD0" w:rsidRPr="00853982" w:rsidRDefault="00C03DD0" w:rsidP="00622A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3982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C03DD0" w:rsidRPr="00853982" w:rsidRDefault="00C03DD0" w:rsidP="00622A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3982">
              <w:rPr>
                <w:rFonts w:ascii="Times New Roman" w:hAnsi="Times New Roman" w:cs="Times New Roman"/>
                <w:sz w:val="20"/>
                <w:szCs w:val="20"/>
              </w:rPr>
              <w:t>Каналы взаимодействия</w:t>
            </w:r>
          </w:p>
        </w:tc>
        <w:tc>
          <w:tcPr>
            <w:tcW w:w="3413" w:type="dxa"/>
            <w:gridSpan w:val="3"/>
            <w:shd w:val="clear" w:color="auto" w:fill="auto"/>
          </w:tcPr>
          <w:p w:rsidR="00C03DD0" w:rsidRPr="00853982" w:rsidRDefault="00C03DD0" w:rsidP="00622A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3982">
              <w:rPr>
                <w:rFonts w:ascii="Times New Roman" w:hAnsi="Times New Roman" w:cs="Times New Roman"/>
                <w:sz w:val="20"/>
                <w:szCs w:val="20"/>
              </w:rPr>
              <w:t>Инструменты взаимодействия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C03DD0" w:rsidRPr="00853982" w:rsidRDefault="00C03DD0" w:rsidP="00622A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3982">
              <w:rPr>
                <w:rFonts w:ascii="Times New Roman" w:hAnsi="Times New Roman" w:cs="Times New Roman"/>
                <w:sz w:val="20"/>
                <w:szCs w:val="20"/>
              </w:rPr>
              <w:t xml:space="preserve">Способы </w:t>
            </w:r>
          </w:p>
          <w:p w:rsidR="00C03DD0" w:rsidRPr="00853982" w:rsidRDefault="00C03DD0" w:rsidP="00622A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3982">
              <w:rPr>
                <w:rFonts w:ascii="Times New Roman" w:hAnsi="Times New Roman" w:cs="Times New Roman"/>
                <w:sz w:val="20"/>
                <w:szCs w:val="20"/>
              </w:rPr>
              <w:t>взаимодействия</w:t>
            </w:r>
          </w:p>
        </w:tc>
      </w:tr>
      <w:tr w:rsidR="002A3B63" w:rsidRPr="00622A4F" w:rsidTr="00410865">
        <w:trPr>
          <w:jc w:val="center"/>
        </w:trPr>
        <w:tc>
          <w:tcPr>
            <w:tcW w:w="703" w:type="dxa"/>
            <w:vMerge/>
          </w:tcPr>
          <w:p w:rsidR="00C03DD0" w:rsidRPr="00853982" w:rsidRDefault="00C03DD0" w:rsidP="00622A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C03DD0" w:rsidRPr="00853982" w:rsidRDefault="00C03DD0" w:rsidP="00622A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03DD0" w:rsidRPr="00853982" w:rsidRDefault="00C03DD0" w:rsidP="00622A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03DD0" w:rsidRPr="00853982" w:rsidRDefault="00C03DD0" w:rsidP="00622A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:rsidR="00C03DD0" w:rsidRPr="00853982" w:rsidRDefault="00C03DD0" w:rsidP="00622A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  <w:vMerge/>
          </w:tcPr>
          <w:p w:rsidR="00C03DD0" w:rsidRPr="00853982" w:rsidRDefault="00C03DD0" w:rsidP="00622A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C03DD0" w:rsidRPr="00853982" w:rsidRDefault="00C03DD0" w:rsidP="00622A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3982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1568" w:type="dxa"/>
            <w:gridSpan w:val="2"/>
          </w:tcPr>
          <w:p w:rsidR="00C03DD0" w:rsidRPr="00853982" w:rsidRDefault="00C03DD0" w:rsidP="00622A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3982"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  <w:tc>
          <w:tcPr>
            <w:tcW w:w="1715" w:type="dxa"/>
            <w:vMerge/>
          </w:tcPr>
          <w:p w:rsidR="00C03DD0" w:rsidRPr="00853982" w:rsidRDefault="00C03DD0" w:rsidP="00622A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660" w:rsidRPr="00622A4F" w:rsidTr="00852F23">
        <w:trPr>
          <w:trHeight w:val="283"/>
          <w:jc w:val="center"/>
        </w:trPr>
        <w:tc>
          <w:tcPr>
            <w:tcW w:w="15751" w:type="dxa"/>
            <w:gridSpan w:val="10"/>
          </w:tcPr>
          <w:p w:rsidR="00720660" w:rsidRPr="00720660" w:rsidRDefault="00720660" w:rsidP="00720660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0660">
              <w:rPr>
                <w:rFonts w:ascii="Times New Roman" w:hAnsi="Times New Roman" w:cs="Times New Roman"/>
                <w:sz w:val="24"/>
                <w:szCs w:val="24"/>
              </w:rPr>
              <w:t>Контрольное управление</w:t>
            </w:r>
          </w:p>
        </w:tc>
      </w:tr>
      <w:tr w:rsidR="006B6663" w:rsidRPr="00622A4F" w:rsidTr="00410865">
        <w:trPr>
          <w:jc w:val="center"/>
        </w:trPr>
        <w:tc>
          <w:tcPr>
            <w:tcW w:w="703" w:type="dxa"/>
          </w:tcPr>
          <w:p w:rsidR="00C03DD0" w:rsidRPr="00675AE6" w:rsidRDefault="00675AE6" w:rsidP="00C02434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873" w:type="dxa"/>
          </w:tcPr>
          <w:p w:rsidR="00C03DD0" w:rsidRPr="00853982" w:rsidRDefault="00C03DD0" w:rsidP="00D80E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проектов нормативных правовых актов, издаваемых на основании федеральных законов, вносящих изменения в Налоговый кодекс Российской Федерации  </w:t>
            </w:r>
          </w:p>
        </w:tc>
        <w:tc>
          <w:tcPr>
            <w:tcW w:w="1247" w:type="dxa"/>
          </w:tcPr>
          <w:p w:rsidR="00C03DD0" w:rsidRPr="00853982" w:rsidRDefault="00852F23" w:rsidP="004F5FB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410865">
              <w:rPr>
                <w:rFonts w:ascii="Times New Roman" w:hAnsi="Times New Roman" w:cs="Times New Roman"/>
                <w:sz w:val="20"/>
                <w:szCs w:val="20"/>
              </w:rPr>
              <w:t xml:space="preserve"> 2017 –2018 гг.</w:t>
            </w:r>
            <w:r w:rsidR="00C03D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3DD0" w:rsidRPr="005208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852F23" w:rsidRPr="008877B6" w:rsidRDefault="00852F23" w:rsidP="00852F23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77B6">
              <w:rPr>
                <w:rFonts w:ascii="Times New Roman" w:hAnsi="Times New Roman" w:cs="Times New Roman"/>
                <w:sz w:val="20"/>
                <w:szCs w:val="20"/>
              </w:rPr>
              <w:t>1. Прямые потребители результатов  реализуемых ФНС России функций и предоставляемых услуг;</w:t>
            </w:r>
          </w:p>
          <w:p w:rsidR="008877B6" w:rsidRDefault="00D0721F" w:rsidP="008877B6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8877B6" w:rsidRPr="008877B6">
              <w:rPr>
                <w:rFonts w:ascii="Times New Roman" w:hAnsi="Times New Roman" w:cs="Times New Roman"/>
                <w:sz w:val="20"/>
                <w:szCs w:val="20"/>
              </w:rPr>
              <w:t>Представители органов государственной власти, органов местного самоуправления</w:t>
            </w:r>
          </w:p>
          <w:p w:rsidR="00C03DD0" w:rsidRPr="00853982" w:rsidRDefault="00C03DD0" w:rsidP="008877B6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1" w:type="dxa"/>
          </w:tcPr>
          <w:p w:rsidR="00C03DD0" w:rsidRPr="00853982" w:rsidRDefault="00C03DD0" w:rsidP="00D80E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08F0">
              <w:rPr>
                <w:rFonts w:ascii="Times New Roman" w:hAnsi="Times New Roman" w:cs="Times New Roman"/>
                <w:sz w:val="20"/>
                <w:szCs w:val="20"/>
              </w:rPr>
              <w:t xml:space="preserve">В зависимости от характера </w:t>
            </w:r>
            <w:r w:rsidR="006B2577">
              <w:rPr>
                <w:rFonts w:ascii="Times New Roman" w:hAnsi="Times New Roman" w:cs="Times New Roman"/>
                <w:sz w:val="20"/>
                <w:szCs w:val="20"/>
              </w:rPr>
              <w:t xml:space="preserve">внесения </w:t>
            </w:r>
            <w:r w:rsidRPr="005208F0">
              <w:rPr>
                <w:rFonts w:ascii="Times New Roman" w:hAnsi="Times New Roman" w:cs="Times New Roman"/>
                <w:sz w:val="20"/>
                <w:szCs w:val="20"/>
              </w:rPr>
              <w:t>измене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208F0">
              <w:rPr>
                <w:rFonts w:ascii="Times New Roman" w:hAnsi="Times New Roman" w:cs="Times New Roman"/>
                <w:sz w:val="20"/>
                <w:szCs w:val="20"/>
              </w:rPr>
              <w:t>ий в Налоговый кодекс Российской Федерации: налогоплательщики</w:t>
            </w:r>
            <w:r w:rsidR="00942A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208F0">
              <w:rPr>
                <w:rFonts w:ascii="Times New Roman" w:hAnsi="Times New Roman" w:cs="Times New Roman"/>
                <w:sz w:val="20"/>
                <w:szCs w:val="20"/>
              </w:rPr>
              <w:t xml:space="preserve"> плательщики сборов, налоговые агенты, плательщики страховых взносов, банки, Банк России, Минэкономразвития России, Минюст России, Минфин России, Общественный совет</w:t>
            </w:r>
            <w:r w:rsidR="00AD6642">
              <w:rPr>
                <w:rFonts w:ascii="Times New Roman" w:hAnsi="Times New Roman" w:cs="Times New Roman"/>
                <w:sz w:val="20"/>
                <w:szCs w:val="20"/>
              </w:rPr>
              <w:t xml:space="preserve"> при </w:t>
            </w:r>
            <w:r w:rsidRPr="005208F0">
              <w:rPr>
                <w:rFonts w:ascii="Times New Roman" w:hAnsi="Times New Roman" w:cs="Times New Roman"/>
                <w:sz w:val="20"/>
                <w:szCs w:val="20"/>
              </w:rPr>
              <w:t xml:space="preserve"> ФНС России, Общественная палата </w:t>
            </w:r>
            <w:r w:rsidR="006B2577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  <w:r w:rsidRPr="005208F0">
              <w:rPr>
                <w:rFonts w:ascii="Times New Roman" w:hAnsi="Times New Roman" w:cs="Times New Roman"/>
                <w:sz w:val="20"/>
                <w:szCs w:val="20"/>
              </w:rPr>
              <w:t>, Экспертный совет при Правительстве Росси</w:t>
            </w:r>
            <w:r w:rsidR="006B2577">
              <w:rPr>
                <w:rFonts w:ascii="Times New Roman" w:hAnsi="Times New Roman" w:cs="Times New Roman"/>
                <w:sz w:val="20"/>
                <w:szCs w:val="20"/>
              </w:rPr>
              <w:t>йской Федерации</w:t>
            </w:r>
            <w:r w:rsidRPr="005208F0">
              <w:rPr>
                <w:rFonts w:ascii="Times New Roman" w:hAnsi="Times New Roman" w:cs="Times New Roman"/>
                <w:sz w:val="20"/>
                <w:szCs w:val="20"/>
              </w:rPr>
              <w:t xml:space="preserve">, Опора России, ТПП </w:t>
            </w:r>
            <w:r w:rsidRPr="005208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России, РСПП, представители профессиональных сообществ, иные субъекты</w:t>
            </w:r>
          </w:p>
        </w:tc>
        <w:tc>
          <w:tcPr>
            <w:tcW w:w="2541" w:type="dxa"/>
          </w:tcPr>
          <w:p w:rsidR="00C03DD0" w:rsidRPr="00853982" w:rsidRDefault="00C03DD0" w:rsidP="00D80E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5208F0">
              <w:rPr>
                <w:rFonts w:ascii="Times New Roman" w:hAnsi="Times New Roman" w:cs="Times New Roman"/>
                <w:sz w:val="20"/>
                <w:szCs w:val="20"/>
              </w:rPr>
              <w:t xml:space="preserve">фициальные 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взаимодействия </w:t>
            </w:r>
            <w:r w:rsidRPr="005208F0">
              <w:rPr>
                <w:rFonts w:ascii="Times New Roman" w:hAnsi="Times New Roman" w:cs="Times New Roman"/>
                <w:sz w:val="20"/>
                <w:szCs w:val="20"/>
              </w:rPr>
              <w:t>для общественного обсуждения, оценки регулирующего воздействия и антикоррупционной экспертизы проектов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нормативных правовых актов</w:t>
            </w:r>
          </w:p>
        </w:tc>
        <w:tc>
          <w:tcPr>
            <w:tcW w:w="1845" w:type="dxa"/>
          </w:tcPr>
          <w:p w:rsidR="00C03DD0" w:rsidRPr="00D80E62" w:rsidRDefault="008877B6" w:rsidP="00C02434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77B6">
              <w:rPr>
                <w:rFonts w:ascii="Times New Roman" w:hAnsi="Times New Roman" w:cs="Times New Roman"/>
                <w:sz w:val="20"/>
                <w:szCs w:val="20"/>
              </w:rPr>
              <w:t>Федеральный портал проектов нормативных правовых актов</w:t>
            </w:r>
            <w:r>
              <w:t xml:space="preserve"> </w:t>
            </w:r>
            <w:hyperlink r:id="rId7" w:history="1">
              <w:r w:rsidR="00C03DD0" w:rsidRPr="002D31C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regulation</w:t>
              </w:r>
              <w:r w:rsidR="00C03DD0" w:rsidRPr="008877B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C03DD0" w:rsidRPr="002D31C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gov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C03DD0" w:rsidRPr="002D31C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C03DD0" w:rsidRPr="008877B6" w:rsidRDefault="00C03DD0" w:rsidP="00C02434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DD0" w:rsidRPr="008877B6" w:rsidRDefault="00C03DD0" w:rsidP="00C02434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2"/>
          </w:tcPr>
          <w:p w:rsidR="00C03DD0" w:rsidRPr="00853982" w:rsidRDefault="00044016" w:rsidP="00D80E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Замечания и предложения референтных групп, представ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ленные по итогам общественного обсуждения проектов нормативных правовых актов</w:t>
            </w:r>
          </w:p>
        </w:tc>
        <w:tc>
          <w:tcPr>
            <w:tcW w:w="1715" w:type="dxa"/>
          </w:tcPr>
          <w:p w:rsidR="00C03DD0" w:rsidRPr="002205DA" w:rsidRDefault="00C03DD0" w:rsidP="00D80E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Экспертные обсуждения</w:t>
            </w:r>
          </w:p>
        </w:tc>
      </w:tr>
      <w:tr w:rsidR="00675AE6" w:rsidRPr="00622A4F" w:rsidTr="00852F23">
        <w:trPr>
          <w:jc w:val="center"/>
        </w:trPr>
        <w:tc>
          <w:tcPr>
            <w:tcW w:w="15751" w:type="dxa"/>
            <w:gridSpan w:val="10"/>
          </w:tcPr>
          <w:p w:rsidR="00675AE6" w:rsidRPr="00675AE6" w:rsidRDefault="00675AE6" w:rsidP="00675AE6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5AE6">
              <w:rPr>
                <w:rFonts w:ascii="Times New Roman" w:hAnsi="Times New Roman" w:cs="Times New Roman"/>
                <w:sz w:val="24"/>
                <w:szCs w:val="24"/>
              </w:rPr>
              <w:t>Управление трансфертного ценообразования</w:t>
            </w:r>
          </w:p>
        </w:tc>
      </w:tr>
      <w:tr w:rsidR="00484A58" w:rsidRPr="00622A4F" w:rsidTr="00410865">
        <w:trPr>
          <w:jc w:val="center"/>
        </w:trPr>
        <w:tc>
          <w:tcPr>
            <w:tcW w:w="703" w:type="dxa"/>
          </w:tcPr>
          <w:p w:rsidR="00484A58" w:rsidRPr="006A16A8" w:rsidRDefault="00484A58" w:rsidP="00E45941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873" w:type="dxa"/>
          </w:tcPr>
          <w:p w:rsidR="00484A58" w:rsidRDefault="00484A58" w:rsidP="00E45941"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совещания – семинара на тему:</w:t>
            </w:r>
            <w:r w:rsidRPr="00735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35E76">
              <w:rPr>
                <w:rFonts w:ascii="Times New Roman" w:hAnsi="Times New Roman" w:cs="Times New Roman"/>
                <w:sz w:val="20"/>
                <w:szCs w:val="20"/>
              </w:rPr>
              <w:t>Реализация положений налогового законодательства о контроле цен для целей налогообложения и задачи на 2017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84A58" w:rsidRPr="00853982" w:rsidRDefault="00484A58" w:rsidP="00E45941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484A58" w:rsidRPr="00853982" w:rsidRDefault="00410865" w:rsidP="00985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484A58" w:rsidRPr="00AE09E8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68" w:type="dxa"/>
          </w:tcPr>
          <w:p w:rsidR="00484A58" w:rsidRDefault="00484A58" w:rsidP="00E45941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Референтная группа ФНС России, выполняющая обеспечивающие функции</w:t>
            </w:r>
            <w:r w:rsidR="00D80E62">
              <w:rPr>
                <w:rFonts w:ascii="Times New Roman" w:hAnsi="Times New Roman" w:cs="Times New Roman"/>
                <w:sz w:val="20"/>
                <w:szCs w:val="20"/>
              </w:rPr>
              <w:t xml:space="preserve"> (структурные подразделения центрального аппарата ФНС России, территориальные налоговые органы, организации, подведомственные ФНС России, информационные разработчики)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84A58" w:rsidRPr="00853982" w:rsidRDefault="00484A58" w:rsidP="00D80E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Референтная группа ФНС России – представители органов государственной власти, органов местного самоуправления, Банк России</w:t>
            </w:r>
          </w:p>
        </w:tc>
        <w:tc>
          <w:tcPr>
            <w:tcW w:w="1991" w:type="dxa"/>
          </w:tcPr>
          <w:p w:rsidR="00484A58" w:rsidRDefault="00F70F16" w:rsidP="00E45941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84A58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центрального аппарата ФНС России, территориальные налоговые органы</w:t>
            </w:r>
            <w:r w:rsidR="00033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84A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2.Орга</w:t>
            </w:r>
            <w:r w:rsidR="00033EF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изаци</w:t>
            </w:r>
            <w:r w:rsidR="00033EF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="00484A58">
              <w:rPr>
                <w:rFonts w:ascii="Times New Roman" w:hAnsi="Times New Roman" w:cs="Times New Roman"/>
                <w:sz w:val="20"/>
                <w:szCs w:val="20"/>
              </w:rPr>
              <w:t>одведомственн</w:t>
            </w:r>
            <w:r w:rsidR="00033EF2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="00484A58">
              <w:rPr>
                <w:rFonts w:ascii="Times New Roman" w:hAnsi="Times New Roman" w:cs="Times New Roman"/>
                <w:sz w:val="20"/>
                <w:szCs w:val="20"/>
              </w:rPr>
              <w:t xml:space="preserve"> ФНС России (ФКУ «Налог - Сервис» ФНС России)</w:t>
            </w:r>
            <w:r w:rsidR="00033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84A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3.И</w:t>
            </w:r>
            <w:r w:rsidR="00484A58">
              <w:rPr>
                <w:rFonts w:ascii="Times New Roman" w:hAnsi="Times New Roman" w:cs="Times New Roman"/>
                <w:sz w:val="20"/>
                <w:szCs w:val="20"/>
              </w:rPr>
              <w:t>нформационны</w:t>
            </w:r>
            <w:r w:rsidR="00033EF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484A58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разработчик (АО «ГНИВЦ»)</w:t>
            </w:r>
            <w:r w:rsidR="00033E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4A58" w:rsidRPr="00853982" w:rsidRDefault="00484A58" w:rsidP="00D80E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0F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286318">
              <w:rPr>
                <w:rFonts w:ascii="Times New Roman" w:hAnsi="Times New Roman" w:cs="Times New Roman"/>
                <w:sz w:val="20"/>
                <w:szCs w:val="20"/>
              </w:rPr>
              <w:t>редставители органов исполнительной власти</w:t>
            </w:r>
          </w:p>
        </w:tc>
        <w:tc>
          <w:tcPr>
            <w:tcW w:w="2541" w:type="dxa"/>
          </w:tcPr>
          <w:p w:rsidR="00EF124F" w:rsidRPr="00853982" w:rsidRDefault="00F70F16" w:rsidP="00EF124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0F16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подразделения центрального аппарата ФНС России, территориальные налоговые органы </w:t>
            </w:r>
          </w:p>
          <w:p w:rsidR="00484A58" w:rsidRPr="00853982" w:rsidRDefault="00484A58" w:rsidP="00F70F16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:rsidR="00484A58" w:rsidRDefault="00484A58" w:rsidP="00E45941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Официальный сайт ФНС России,</w:t>
            </w:r>
          </w:p>
          <w:p w:rsidR="00484A58" w:rsidRPr="00853982" w:rsidRDefault="00484A58" w:rsidP="00D80E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 участникам референтных групп информации и материалов по вопросам совещания-семинара</w:t>
            </w:r>
          </w:p>
        </w:tc>
        <w:tc>
          <w:tcPr>
            <w:tcW w:w="1568" w:type="dxa"/>
            <w:gridSpan w:val="2"/>
            <w:vMerge w:val="restart"/>
          </w:tcPr>
          <w:p w:rsidR="00484A58" w:rsidRPr="00853982" w:rsidRDefault="00484A58" w:rsidP="00D80E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участников референтных групп в ходе проведения и по итогам совещания-семинара </w:t>
            </w:r>
          </w:p>
        </w:tc>
        <w:tc>
          <w:tcPr>
            <w:tcW w:w="1715" w:type="dxa"/>
            <w:vMerge w:val="restart"/>
          </w:tcPr>
          <w:p w:rsidR="00484A58" w:rsidRPr="00853982" w:rsidRDefault="00484A58" w:rsidP="00D80E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– семинар, информационные материалы</w:t>
            </w:r>
          </w:p>
        </w:tc>
      </w:tr>
      <w:tr w:rsidR="00484A58" w:rsidRPr="00622A4F" w:rsidTr="00410865">
        <w:trPr>
          <w:jc w:val="center"/>
        </w:trPr>
        <w:tc>
          <w:tcPr>
            <w:tcW w:w="703" w:type="dxa"/>
          </w:tcPr>
          <w:p w:rsidR="00484A58" w:rsidRPr="006A16A8" w:rsidRDefault="00484A58" w:rsidP="00A04246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873" w:type="dxa"/>
          </w:tcPr>
          <w:p w:rsidR="00484A58" w:rsidRDefault="00484A58" w:rsidP="00D80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совещания-семинара по актуальным вопросам трансфертного ценообразования</w:t>
            </w:r>
          </w:p>
        </w:tc>
        <w:tc>
          <w:tcPr>
            <w:tcW w:w="1247" w:type="dxa"/>
          </w:tcPr>
          <w:p w:rsidR="00484A58" w:rsidRPr="00AE09E8" w:rsidRDefault="00484A58" w:rsidP="00304C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41086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</w:tcPr>
          <w:p w:rsidR="00484A58" w:rsidRDefault="00484A58" w:rsidP="00A04246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Референтная группа ФНС России, выполняющая обеспечивающие функции</w:t>
            </w:r>
            <w:r w:rsidR="00D80E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0E62" w:rsidRPr="00D80E62">
              <w:rPr>
                <w:rFonts w:ascii="Times New Roman" w:hAnsi="Times New Roman" w:cs="Times New Roman"/>
                <w:sz w:val="20"/>
                <w:szCs w:val="20"/>
              </w:rPr>
              <w:t xml:space="preserve">(структурные подразделения центрального аппарата ФНС России, территориальные налоговые органы, организации, подведомственные </w:t>
            </w:r>
            <w:r w:rsidR="00D80E62" w:rsidRPr="00D80E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ФНС России, информационные разработчики). </w:t>
            </w:r>
            <w:r w:rsidR="00D80E6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  <w:p w:rsidR="00484A58" w:rsidRDefault="00484A58" w:rsidP="00D80E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Референтная группа ФНС России – представители международных организаций и налоговых органов иностранных государств</w:t>
            </w:r>
          </w:p>
        </w:tc>
        <w:tc>
          <w:tcPr>
            <w:tcW w:w="1991" w:type="dxa"/>
          </w:tcPr>
          <w:p w:rsidR="00484A58" w:rsidRPr="0069519E" w:rsidRDefault="00484A58" w:rsidP="00A04246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1.Структурные подразделения центрального аппарата ФНС России, территориальные налоговые органы.</w:t>
            </w:r>
          </w:p>
          <w:p w:rsidR="00484A58" w:rsidRDefault="00484A58" w:rsidP="00A04246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</w:t>
            </w:r>
            <w:r w:rsidRPr="0069519E">
              <w:rPr>
                <w:rFonts w:ascii="Times New Roman" w:hAnsi="Times New Roman" w:cs="Times New Roman"/>
                <w:sz w:val="20"/>
                <w:szCs w:val="20"/>
              </w:rPr>
              <w:t xml:space="preserve">еждународные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в которых ФНС России выступает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качестве наблюдателя,</w:t>
            </w:r>
          </w:p>
          <w:p w:rsidR="00484A58" w:rsidRDefault="00484A58" w:rsidP="00D80E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представители</w:t>
            </w:r>
            <w:r w:rsidRPr="00310B23">
              <w:rPr>
                <w:rFonts w:ascii="Times New Roman" w:hAnsi="Times New Roman" w:cs="Times New Roman"/>
                <w:sz w:val="20"/>
                <w:szCs w:val="20"/>
              </w:rPr>
              <w:t xml:space="preserve"> налоговых администраций стран СНГ</w:t>
            </w:r>
          </w:p>
        </w:tc>
        <w:tc>
          <w:tcPr>
            <w:tcW w:w="2541" w:type="dxa"/>
          </w:tcPr>
          <w:p w:rsidR="00484A58" w:rsidRPr="0069519E" w:rsidRDefault="00484A58" w:rsidP="00A04246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1.Структурные подразделения центрального аппарата ФНС России, территориальные налоговые органы.</w:t>
            </w:r>
          </w:p>
          <w:p w:rsidR="00484A58" w:rsidRDefault="00484A58" w:rsidP="00A04246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</w:t>
            </w:r>
            <w:r w:rsidRPr="0069519E">
              <w:rPr>
                <w:rFonts w:ascii="Times New Roman" w:hAnsi="Times New Roman" w:cs="Times New Roman"/>
                <w:sz w:val="20"/>
                <w:szCs w:val="20"/>
              </w:rPr>
              <w:t xml:space="preserve">еждународные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организации, в которых ФНС России выступает в качестве наблюдателя,</w:t>
            </w:r>
          </w:p>
          <w:p w:rsidR="00484A58" w:rsidRDefault="00484A58" w:rsidP="00D80E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представители</w:t>
            </w:r>
            <w:r w:rsidRPr="00310B23">
              <w:rPr>
                <w:rFonts w:ascii="Times New Roman" w:hAnsi="Times New Roman" w:cs="Times New Roman"/>
                <w:sz w:val="20"/>
                <w:szCs w:val="20"/>
              </w:rPr>
              <w:t xml:space="preserve"> налоговых администраций стран СНГ</w:t>
            </w:r>
          </w:p>
        </w:tc>
        <w:tc>
          <w:tcPr>
            <w:tcW w:w="1845" w:type="dxa"/>
            <w:vMerge/>
          </w:tcPr>
          <w:p w:rsidR="00484A58" w:rsidRDefault="00484A58" w:rsidP="00EE467E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</w:tcPr>
          <w:p w:rsidR="00484A58" w:rsidRDefault="00484A58" w:rsidP="00F7367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</w:tcPr>
          <w:p w:rsidR="00484A58" w:rsidRDefault="00484A58" w:rsidP="006B2577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AB3" w:rsidRPr="00622A4F" w:rsidTr="00852F23">
        <w:trPr>
          <w:trHeight w:val="284"/>
          <w:jc w:val="center"/>
        </w:trPr>
        <w:tc>
          <w:tcPr>
            <w:tcW w:w="15751" w:type="dxa"/>
            <w:gridSpan w:val="10"/>
          </w:tcPr>
          <w:p w:rsidR="00267AB3" w:rsidRPr="00267AB3" w:rsidRDefault="00267AB3" w:rsidP="00267AB3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7AB3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  <w:r w:rsidRPr="00267A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Управление камерального контроля</w:t>
            </w:r>
          </w:p>
        </w:tc>
      </w:tr>
      <w:tr w:rsidR="009F419D" w:rsidRPr="00622A4F" w:rsidTr="00410865">
        <w:trPr>
          <w:jc w:val="center"/>
        </w:trPr>
        <w:tc>
          <w:tcPr>
            <w:tcW w:w="703" w:type="dxa"/>
          </w:tcPr>
          <w:p w:rsidR="009F419D" w:rsidRPr="00ED03BA" w:rsidRDefault="009F419D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873" w:type="dxa"/>
            <w:vMerge w:val="restart"/>
          </w:tcPr>
          <w:p w:rsidR="009F419D" w:rsidRDefault="009F419D" w:rsidP="00D80E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Экспертные обсуждения, круглые столы, вебинары, семинары и другие способы взаимодействия по вопросам камерального контроля  </w:t>
            </w:r>
          </w:p>
        </w:tc>
        <w:tc>
          <w:tcPr>
            <w:tcW w:w="1247" w:type="dxa"/>
            <w:vMerge w:val="restart"/>
          </w:tcPr>
          <w:p w:rsidR="009F419D" w:rsidRPr="00DA1424" w:rsidRDefault="009F419D" w:rsidP="00D80E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410865">
              <w:rPr>
                <w:rFonts w:ascii="Times New Roman" w:hAnsi="Times New Roman" w:cs="Times New Roman"/>
                <w:sz w:val="20"/>
                <w:szCs w:val="20"/>
              </w:rPr>
              <w:t xml:space="preserve"> 2017 - 2018  гг.</w:t>
            </w:r>
          </w:p>
        </w:tc>
        <w:tc>
          <w:tcPr>
            <w:tcW w:w="2268" w:type="dxa"/>
            <w:vMerge w:val="restart"/>
          </w:tcPr>
          <w:p w:rsidR="009F419D" w:rsidRPr="00E135A6" w:rsidRDefault="009F419D" w:rsidP="00E135A6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35A6">
              <w:rPr>
                <w:rFonts w:ascii="Times New Roman" w:hAnsi="Times New Roman" w:cs="Times New Roman"/>
                <w:sz w:val="20"/>
                <w:szCs w:val="20"/>
              </w:rPr>
              <w:t>Прямые потребители результатов  реализуемых ФНС России функций и предоставляемых услуг</w:t>
            </w:r>
          </w:p>
          <w:p w:rsidR="009F419D" w:rsidRPr="00DA1424" w:rsidRDefault="009F419D" w:rsidP="00B803BE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:rsidR="009F419D" w:rsidRPr="00DA1424" w:rsidRDefault="009F419D" w:rsidP="00A17996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1424">
              <w:rPr>
                <w:rFonts w:ascii="Times New Roman" w:hAnsi="Times New Roman" w:cs="Times New Roman"/>
                <w:sz w:val="20"/>
                <w:szCs w:val="20"/>
              </w:rPr>
              <w:t>Юридические лица (крупнейшие налогоплательщики)</w:t>
            </w:r>
          </w:p>
        </w:tc>
        <w:tc>
          <w:tcPr>
            <w:tcW w:w="2541" w:type="dxa"/>
            <w:vMerge w:val="restart"/>
          </w:tcPr>
          <w:p w:rsidR="00F70F16" w:rsidRDefault="00F70F16" w:rsidP="00F70F16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</w:t>
            </w:r>
            <w:r w:rsidR="009F419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Официальные средства взаимодействия для общественного обсуждения, оценки регулирующего воздействия и антикоррупционной экспертизы проектов нормативных правовых актов</w:t>
            </w:r>
            <w:r w:rsidR="00D51DF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9F419D" w:rsidRPr="0025729D" w:rsidRDefault="00F70F16" w:rsidP="00936FF1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</w:t>
            </w:r>
            <w:r w:rsidR="009F419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9F419D" w:rsidRPr="0025729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Совещательные органы при </w:t>
            </w:r>
            <w:r w:rsidR="00936F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ФНС России</w:t>
            </w:r>
            <w:r w:rsidR="009F419D" w:rsidRPr="0025729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(</w:t>
            </w:r>
            <w:r w:rsidR="00936FF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="009F419D" w:rsidRPr="0025729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бщественный совет, экспертные и консультационные советы, рабочие группы)</w:t>
            </w:r>
          </w:p>
        </w:tc>
        <w:tc>
          <w:tcPr>
            <w:tcW w:w="1845" w:type="dxa"/>
            <w:vMerge w:val="restart"/>
          </w:tcPr>
          <w:p w:rsidR="009F419D" w:rsidRPr="0025729D" w:rsidRDefault="009F419D" w:rsidP="00B7006D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729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Общегосударственные проекты (https://regulation.gov.ru/, http://programs.gov.ru/Portal/, http://data.gov.ru/, https://vashkontrol.ru/)</w:t>
            </w:r>
          </w:p>
        </w:tc>
        <w:tc>
          <w:tcPr>
            <w:tcW w:w="1561" w:type="dxa"/>
            <w:vMerge w:val="restart"/>
          </w:tcPr>
          <w:p w:rsidR="009F419D" w:rsidRPr="00DA1424" w:rsidRDefault="009F419D" w:rsidP="00B55964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035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Замечания и предложения референтн</w:t>
            </w:r>
            <w:r w:rsidR="00B5596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ой</w:t>
            </w:r>
            <w:r w:rsidRPr="00C7035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групп</w:t>
            </w:r>
            <w:r w:rsidR="00B5596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ы</w:t>
            </w:r>
            <w:r w:rsidRPr="00C7035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представленные по итогам общественного обсуждения проектов нормативных правовых актов</w:t>
            </w:r>
          </w:p>
        </w:tc>
        <w:tc>
          <w:tcPr>
            <w:tcW w:w="1722" w:type="dxa"/>
            <w:gridSpan w:val="2"/>
            <w:vMerge w:val="restart"/>
          </w:tcPr>
          <w:p w:rsidR="009F419D" w:rsidRDefault="009F419D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33EE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Экспертные обсуждения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9F419D" w:rsidRDefault="009F419D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365D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Переговоры, встречи, консультации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9F419D" w:rsidRDefault="009F419D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365D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Электронный и личный прием граждан</w:t>
            </w:r>
          </w:p>
          <w:p w:rsidR="009F419D" w:rsidRPr="008365D2" w:rsidRDefault="009F419D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19D" w:rsidRPr="00622A4F" w:rsidTr="00410865">
        <w:trPr>
          <w:jc w:val="center"/>
        </w:trPr>
        <w:tc>
          <w:tcPr>
            <w:tcW w:w="703" w:type="dxa"/>
          </w:tcPr>
          <w:p w:rsidR="009F419D" w:rsidRPr="00C838E8" w:rsidRDefault="009F419D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873" w:type="dxa"/>
            <w:vMerge/>
          </w:tcPr>
          <w:p w:rsidR="009F419D" w:rsidRDefault="009F419D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F419D" w:rsidRPr="00DA1424" w:rsidRDefault="009F419D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F419D" w:rsidRPr="00DA1424" w:rsidRDefault="009F419D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:rsidR="009F419D" w:rsidRPr="00DA1424" w:rsidRDefault="009F419D" w:rsidP="00A17996">
            <w:pPr>
              <w:tabs>
                <w:tab w:val="left" w:pos="1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424">
              <w:rPr>
                <w:rFonts w:ascii="Times New Roman" w:hAnsi="Times New Roman" w:cs="Times New Roman"/>
                <w:sz w:val="20"/>
                <w:szCs w:val="20"/>
              </w:rPr>
              <w:t>Юридические лица (представители малого и среднего предпринимательства)</w:t>
            </w:r>
          </w:p>
        </w:tc>
        <w:tc>
          <w:tcPr>
            <w:tcW w:w="2541" w:type="dxa"/>
            <w:vMerge/>
          </w:tcPr>
          <w:p w:rsidR="009F419D" w:rsidRPr="00DA1424" w:rsidRDefault="009F419D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9F419D" w:rsidRPr="0025729D" w:rsidRDefault="009F419D" w:rsidP="00895C8E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9F419D" w:rsidRPr="00DA1424" w:rsidRDefault="009F419D" w:rsidP="00895C8E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Merge/>
          </w:tcPr>
          <w:p w:rsidR="009F419D" w:rsidRPr="00DA1424" w:rsidRDefault="009F419D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103" w:rsidRPr="00622A4F" w:rsidTr="00410865">
        <w:trPr>
          <w:jc w:val="center"/>
        </w:trPr>
        <w:tc>
          <w:tcPr>
            <w:tcW w:w="703" w:type="dxa"/>
          </w:tcPr>
          <w:p w:rsidR="003C1103" w:rsidRPr="00C838E8" w:rsidRDefault="003C1103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III.3</w:t>
            </w:r>
          </w:p>
        </w:tc>
        <w:tc>
          <w:tcPr>
            <w:tcW w:w="1873" w:type="dxa"/>
            <w:vMerge/>
          </w:tcPr>
          <w:p w:rsidR="003C1103" w:rsidRDefault="003C1103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1103" w:rsidRPr="00DA1424" w:rsidRDefault="003C1103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C1103" w:rsidRPr="00DA1424" w:rsidRDefault="003C1103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:rsidR="003C1103" w:rsidRPr="00DA1424" w:rsidRDefault="003C1103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424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2541" w:type="dxa"/>
          </w:tcPr>
          <w:p w:rsidR="003C1103" w:rsidRPr="0025729D" w:rsidRDefault="00936FF1" w:rsidP="00936FF1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Электронные сервисы ФНС России</w:t>
            </w:r>
          </w:p>
        </w:tc>
        <w:tc>
          <w:tcPr>
            <w:tcW w:w="1845" w:type="dxa"/>
          </w:tcPr>
          <w:p w:rsidR="003C1103" w:rsidRDefault="00C92739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Телефон доверия.</w:t>
            </w:r>
          </w:p>
          <w:p w:rsidR="003C1103" w:rsidRDefault="003C1103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C261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Информационные материалы, буклеты, листовки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3C1103" w:rsidRPr="00B67CD6" w:rsidRDefault="003C1103" w:rsidP="007703FA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261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Информационные экраны и стенды в налоговых органах</w:t>
            </w:r>
            <w:r w:rsidRPr="008365D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7703F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Электронные</w:t>
            </w:r>
            <w:r w:rsidRPr="008365D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сервисы ФНС России</w:t>
            </w:r>
          </w:p>
        </w:tc>
        <w:tc>
          <w:tcPr>
            <w:tcW w:w="1561" w:type="dxa"/>
            <w:vMerge w:val="restart"/>
          </w:tcPr>
          <w:p w:rsidR="003C1103" w:rsidRDefault="003C1103" w:rsidP="00B55AC7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Замечания и предложения референтной группы, представленные посредством м</w:t>
            </w:r>
            <w:r w:rsidRPr="008365D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обильны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</w:t>
            </w:r>
            <w:r w:rsidRPr="008365D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приложени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й, в ходе личного приема, на горячую линию</w:t>
            </w:r>
          </w:p>
          <w:p w:rsidR="003C1103" w:rsidRDefault="003C1103" w:rsidP="00B55AC7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3C1103" w:rsidRDefault="003C1103" w:rsidP="00B55AC7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3C1103" w:rsidRPr="00DA1424" w:rsidRDefault="003C1103" w:rsidP="009F419D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2"/>
          </w:tcPr>
          <w:p w:rsidR="003C1103" w:rsidRDefault="003C1103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365D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Анализ обращений, в том числе жалоб, физических и юридических лиц, поступивших через различные каналы</w:t>
            </w:r>
            <w:r w:rsidRPr="008365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5D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 инструменты взаимодействия</w:t>
            </w:r>
          </w:p>
          <w:p w:rsidR="003C1103" w:rsidRPr="008365D2" w:rsidRDefault="003C1103" w:rsidP="009F419D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103" w:rsidRPr="00622A4F" w:rsidTr="00410865">
        <w:trPr>
          <w:jc w:val="center"/>
        </w:trPr>
        <w:tc>
          <w:tcPr>
            <w:tcW w:w="703" w:type="dxa"/>
          </w:tcPr>
          <w:p w:rsidR="003C1103" w:rsidRPr="00C838E8" w:rsidRDefault="003C1103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III.4</w:t>
            </w:r>
          </w:p>
        </w:tc>
        <w:tc>
          <w:tcPr>
            <w:tcW w:w="1873" w:type="dxa"/>
            <w:vMerge/>
          </w:tcPr>
          <w:p w:rsidR="003C1103" w:rsidRDefault="003C1103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1103" w:rsidRPr="00DA1424" w:rsidRDefault="003C1103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1103" w:rsidRPr="00DA1424" w:rsidRDefault="003C1103" w:rsidP="00D80E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1424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внешнеэкономической деятельности </w:t>
            </w:r>
          </w:p>
        </w:tc>
        <w:tc>
          <w:tcPr>
            <w:tcW w:w="1991" w:type="dxa"/>
          </w:tcPr>
          <w:p w:rsidR="003C1103" w:rsidRPr="00DA1424" w:rsidRDefault="003C1103" w:rsidP="00D80E62">
            <w:pPr>
              <w:tabs>
                <w:tab w:val="left" w:pos="1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A1424">
              <w:rPr>
                <w:rFonts w:ascii="Times New Roman" w:hAnsi="Times New Roman" w:cs="Times New Roman"/>
                <w:sz w:val="20"/>
                <w:szCs w:val="20"/>
              </w:rPr>
              <w:t>ридические лица, индивидуальные предприниматели, физические лица</w:t>
            </w:r>
          </w:p>
        </w:tc>
        <w:tc>
          <w:tcPr>
            <w:tcW w:w="2541" w:type="dxa"/>
            <w:vMerge w:val="restart"/>
          </w:tcPr>
          <w:p w:rsidR="003C1103" w:rsidRDefault="00F70F16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</w:t>
            </w:r>
            <w:r w:rsidR="003C1103" w:rsidRPr="0025729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Средства массовой информации (федеральные, региональные и отраслевые)</w:t>
            </w:r>
            <w:r w:rsidR="007703F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3C1103" w:rsidRPr="00B55964" w:rsidRDefault="00F70F16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</w:t>
            </w:r>
            <w:r w:rsidR="003C11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Информационно-справочные службы ФНС России</w:t>
            </w:r>
          </w:p>
          <w:p w:rsidR="003C1103" w:rsidRPr="0025729D" w:rsidRDefault="003C1103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3C1103" w:rsidRDefault="003C1103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4B6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Электронная почта, почтовые </w:t>
            </w:r>
          </w:p>
          <w:p w:rsidR="003C1103" w:rsidRDefault="003C1103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4B6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отправления</w:t>
            </w:r>
          </w:p>
          <w:p w:rsidR="003C1103" w:rsidRPr="00DC2614" w:rsidRDefault="003C1103" w:rsidP="00883C91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65D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Тематические конференции, круглые столы, вебинары, семинары, хакатоны</w:t>
            </w:r>
            <w:r w:rsidRPr="00DC261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61" w:type="dxa"/>
            <w:vMerge/>
          </w:tcPr>
          <w:p w:rsidR="003C1103" w:rsidRPr="00DA1424" w:rsidRDefault="003C1103" w:rsidP="00B55964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2"/>
          </w:tcPr>
          <w:p w:rsidR="003C1103" w:rsidRPr="008365D2" w:rsidRDefault="003C1103" w:rsidP="00D80E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Экспертные обсуждения</w:t>
            </w:r>
          </w:p>
        </w:tc>
      </w:tr>
      <w:tr w:rsidR="003C1103" w:rsidRPr="00622A4F" w:rsidTr="00410865">
        <w:trPr>
          <w:trHeight w:val="5290"/>
          <w:jc w:val="center"/>
        </w:trPr>
        <w:tc>
          <w:tcPr>
            <w:tcW w:w="703" w:type="dxa"/>
          </w:tcPr>
          <w:p w:rsidR="003C1103" w:rsidRPr="00C838E8" w:rsidRDefault="003C1103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III.5</w:t>
            </w:r>
          </w:p>
        </w:tc>
        <w:tc>
          <w:tcPr>
            <w:tcW w:w="1873" w:type="dxa"/>
            <w:vMerge/>
          </w:tcPr>
          <w:p w:rsidR="003C1103" w:rsidRDefault="003C1103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1103" w:rsidRPr="00DA1424" w:rsidRDefault="003C1103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1103" w:rsidRPr="00B803BE" w:rsidRDefault="003C1103" w:rsidP="00D80E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803BE">
              <w:rPr>
                <w:rFonts w:ascii="Times New Roman" w:hAnsi="Times New Roman" w:cs="Times New Roman"/>
                <w:sz w:val="20"/>
                <w:szCs w:val="20"/>
              </w:rPr>
              <w:t xml:space="preserve">Прямые потребители результатов реализуемых ФНС России функций и предоставляемых услуг </w:t>
            </w:r>
          </w:p>
        </w:tc>
        <w:tc>
          <w:tcPr>
            <w:tcW w:w="1991" w:type="dxa"/>
          </w:tcPr>
          <w:p w:rsidR="003C1103" w:rsidRDefault="003C1103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1424">
              <w:rPr>
                <w:rFonts w:ascii="Times New Roman" w:hAnsi="Times New Roman" w:cs="Times New Roman"/>
                <w:sz w:val="20"/>
                <w:szCs w:val="20"/>
              </w:rPr>
              <w:t>Нотариусы, занимающиеся частной практикой Адвокаты, учредившие адвокатские кабинеты</w:t>
            </w:r>
            <w:r w:rsidRPr="00B803B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C1103" w:rsidRPr="00B803BE" w:rsidRDefault="003C1103" w:rsidP="00D80E62">
            <w:pPr>
              <w:tabs>
                <w:tab w:val="left" w:pos="1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1424">
              <w:rPr>
                <w:rFonts w:ascii="Times New Roman" w:hAnsi="Times New Roman" w:cs="Times New Roman"/>
                <w:sz w:val="20"/>
                <w:szCs w:val="20"/>
              </w:rPr>
              <w:t>Крестьянские (фермерские) хозяйства</w:t>
            </w:r>
          </w:p>
        </w:tc>
        <w:tc>
          <w:tcPr>
            <w:tcW w:w="2541" w:type="dxa"/>
            <w:vMerge/>
          </w:tcPr>
          <w:p w:rsidR="003C1103" w:rsidRPr="0025729D" w:rsidRDefault="003C1103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3C1103" w:rsidRDefault="007703FA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</w:t>
            </w:r>
            <w:r w:rsidR="003C1103" w:rsidRPr="00DC261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елефон доверия</w:t>
            </w:r>
            <w:r w:rsidR="003C110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3C1103" w:rsidRDefault="003C1103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C261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Информационные материалы, буклеты, листовки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3C1103" w:rsidRPr="00DC2614" w:rsidRDefault="003C1103" w:rsidP="00D80E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261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Информационные экраны и стенды в налоговых органах</w:t>
            </w:r>
          </w:p>
        </w:tc>
        <w:tc>
          <w:tcPr>
            <w:tcW w:w="1561" w:type="dxa"/>
          </w:tcPr>
          <w:p w:rsidR="003C1103" w:rsidRDefault="003C1103" w:rsidP="003C0DA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365D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Мобильные приложения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3C1103" w:rsidRDefault="003C1103" w:rsidP="003C0DA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365D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Электронный и личный прием граждан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3C1103" w:rsidRDefault="003C1103" w:rsidP="003C0DA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365D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Горячая линия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3C1103" w:rsidRPr="00DA1424" w:rsidRDefault="007703FA" w:rsidP="00D80E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Электронные </w:t>
            </w:r>
            <w:r w:rsidR="003C1103" w:rsidRPr="008365D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сервисы ФНС России</w:t>
            </w:r>
          </w:p>
        </w:tc>
        <w:tc>
          <w:tcPr>
            <w:tcW w:w="1722" w:type="dxa"/>
            <w:gridSpan w:val="2"/>
          </w:tcPr>
          <w:p w:rsidR="003C1103" w:rsidRDefault="003C1103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365D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Анализ обращений, в том числе жалоб, физических и юридических лиц, поступивших через различные каналы</w:t>
            </w:r>
            <w:r w:rsidRPr="008365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5D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 инструменты взаимодействия</w:t>
            </w:r>
          </w:p>
          <w:p w:rsidR="003C1103" w:rsidRPr="00DA1424" w:rsidRDefault="003C1103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381" w:rsidRPr="00622A4F" w:rsidTr="00410865">
        <w:trPr>
          <w:jc w:val="center"/>
        </w:trPr>
        <w:tc>
          <w:tcPr>
            <w:tcW w:w="703" w:type="dxa"/>
          </w:tcPr>
          <w:p w:rsidR="00B82381" w:rsidRPr="00C838E8" w:rsidRDefault="00B82381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III.6</w:t>
            </w:r>
          </w:p>
        </w:tc>
        <w:tc>
          <w:tcPr>
            <w:tcW w:w="1873" w:type="dxa"/>
            <w:vMerge/>
          </w:tcPr>
          <w:p w:rsidR="00B82381" w:rsidRDefault="00B82381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82381" w:rsidRPr="00DA1424" w:rsidRDefault="00B82381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2381" w:rsidRPr="00DA1424" w:rsidRDefault="00B82381" w:rsidP="00D80E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1424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органы законодательной и исполнительной власти (Аппарат Правительства Российской Федерации, Совет Федерации Федерального собрания Российской Федерации, </w:t>
            </w:r>
            <w:r w:rsidRPr="00DA14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Государственная Дума Российской Федерации, Министерство финансов Российской Федерации, Министерство экономического развития Российской Федерации, Министерство юстиции Российской Федерации, Федеральное агентство по техническому урегулированию и метрологии, Федеральная служба по надзору в сфере защиты прав потребителей и благополучия человека, Федеральная служба государственной регистрации, кадастра и картографии)</w:t>
            </w:r>
          </w:p>
        </w:tc>
        <w:tc>
          <w:tcPr>
            <w:tcW w:w="1991" w:type="dxa"/>
          </w:tcPr>
          <w:p w:rsidR="00B82381" w:rsidRPr="00DA1424" w:rsidRDefault="00B82381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</w:tcPr>
          <w:p w:rsidR="00B82381" w:rsidRPr="0025729D" w:rsidRDefault="00B82381" w:rsidP="00D80E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729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Совещательные органы при </w:t>
            </w:r>
            <w:r w:rsidR="00F676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ФНС России</w:t>
            </w:r>
            <w:r w:rsidRPr="0025729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25729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бщественный совет, экспертные и консультационные советы, рабочие группы)</w:t>
            </w:r>
          </w:p>
        </w:tc>
        <w:tc>
          <w:tcPr>
            <w:tcW w:w="1845" w:type="dxa"/>
          </w:tcPr>
          <w:p w:rsidR="00B82381" w:rsidRDefault="00B82381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C261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Общегосударственные проекты (https://regulation.gov.ru/, http://programs.gov.ru/Portal/, http://data.gov.ru/, https://vashkontrol.ru/)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B82381" w:rsidRPr="00DC2614" w:rsidRDefault="00B82381" w:rsidP="00D80E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261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Адресная рассылка по участникам референтных групп</w:t>
            </w:r>
            <w:r w:rsidRPr="008365D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Тематические конференции, круглые столы, вебинары, семинары, хакатоны</w:t>
            </w:r>
          </w:p>
        </w:tc>
        <w:tc>
          <w:tcPr>
            <w:tcW w:w="1561" w:type="dxa"/>
          </w:tcPr>
          <w:p w:rsidR="00B82381" w:rsidRPr="00F47473" w:rsidRDefault="00B82381" w:rsidP="00F47473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4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Замечания и предложения референтных групп, представленные по итогам общественного обсуждения проектов </w:t>
            </w:r>
            <w:r w:rsidRPr="00984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нормативных правовых актов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ходе проведения заседания Общественного совета при ФНС России, экспертных и консультационных советов, рабочих групп</w:t>
            </w:r>
          </w:p>
          <w:p w:rsidR="00B82381" w:rsidRPr="00F47473" w:rsidRDefault="00B82381" w:rsidP="00F47473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381" w:rsidRPr="00DA1424" w:rsidRDefault="00B82381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Merge w:val="restart"/>
          </w:tcPr>
          <w:p w:rsidR="00B82381" w:rsidRDefault="00B82381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Экспертные обсуждения</w:t>
            </w:r>
            <w:r w:rsidRPr="00033EF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B82381" w:rsidRPr="00CE6753" w:rsidRDefault="00B82381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Переговоры, встречи, консультации, рабочие встречи</w:t>
            </w:r>
          </w:p>
          <w:p w:rsidR="00B82381" w:rsidRPr="008365D2" w:rsidRDefault="00B82381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381" w:rsidRPr="00622A4F" w:rsidTr="00410865">
        <w:trPr>
          <w:jc w:val="center"/>
        </w:trPr>
        <w:tc>
          <w:tcPr>
            <w:tcW w:w="703" w:type="dxa"/>
          </w:tcPr>
          <w:p w:rsidR="00B82381" w:rsidRPr="00C838E8" w:rsidRDefault="00B82381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III.7</w:t>
            </w:r>
          </w:p>
        </w:tc>
        <w:tc>
          <w:tcPr>
            <w:tcW w:w="1873" w:type="dxa"/>
            <w:vMerge/>
          </w:tcPr>
          <w:p w:rsidR="00B82381" w:rsidRDefault="00B82381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82381" w:rsidRPr="00DA1424" w:rsidRDefault="00B82381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2381" w:rsidRPr="00DA1424" w:rsidRDefault="00B82381" w:rsidP="00D80E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1424">
              <w:rPr>
                <w:rFonts w:ascii="Times New Roman" w:hAnsi="Times New Roman" w:cs="Times New Roman"/>
                <w:sz w:val="20"/>
                <w:szCs w:val="20"/>
              </w:rPr>
              <w:t>Органы исполнительной власти субъектов Российской Федерации, органы местного самоуправления, органы государственных внебюджетных фондов</w:t>
            </w:r>
          </w:p>
        </w:tc>
        <w:tc>
          <w:tcPr>
            <w:tcW w:w="1991" w:type="dxa"/>
          </w:tcPr>
          <w:p w:rsidR="00B82381" w:rsidRPr="00DA1424" w:rsidRDefault="00B82381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</w:tcPr>
          <w:p w:rsidR="00B82381" w:rsidRPr="0025729D" w:rsidRDefault="00B82381" w:rsidP="00D80E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729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Субъекты общественного контроля (Общероссийский народный фронт, Общественная палата Российской Федерации)</w:t>
            </w:r>
          </w:p>
        </w:tc>
        <w:tc>
          <w:tcPr>
            <w:tcW w:w="1845" w:type="dxa"/>
            <w:vMerge w:val="restart"/>
          </w:tcPr>
          <w:p w:rsidR="00B82381" w:rsidRPr="00CE6753" w:rsidRDefault="00B82381" w:rsidP="00D80E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Направление материалов</w:t>
            </w:r>
            <w:r w:rsidRPr="007121D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участникам референтной группы</w:t>
            </w:r>
          </w:p>
        </w:tc>
        <w:tc>
          <w:tcPr>
            <w:tcW w:w="1561" w:type="dxa"/>
            <w:vMerge w:val="restart"/>
          </w:tcPr>
          <w:p w:rsidR="00B82381" w:rsidRPr="00CE6753" w:rsidRDefault="00B82381" w:rsidP="00D80E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Замечания и предложения, представленные участниками референтной группы</w:t>
            </w:r>
          </w:p>
        </w:tc>
        <w:tc>
          <w:tcPr>
            <w:tcW w:w="1722" w:type="dxa"/>
            <w:gridSpan w:val="2"/>
            <w:vMerge/>
          </w:tcPr>
          <w:p w:rsidR="00B82381" w:rsidRPr="008365D2" w:rsidRDefault="00B82381" w:rsidP="00B82381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381" w:rsidRPr="00622A4F" w:rsidTr="00410865">
        <w:trPr>
          <w:jc w:val="center"/>
        </w:trPr>
        <w:tc>
          <w:tcPr>
            <w:tcW w:w="703" w:type="dxa"/>
          </w:tcPr>
          <w:p w:rsidR="00B82381" w:rsidRPr="00C838E8" w:rsidRDefault="00B82381" w:rsidP="00C838E8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C838E8"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  <w:tc>
          <w:tcPr>
            <w:tcW w:w="1873" w:type="dxa"/>
            <w:vMerge/>
          </w:tcPr>
          <w:p w:rsidR="00B82381" w:rsidRDefault="00B82381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82381" w:rsidRPr="00DA1424" w:rsidRDefault="00B82381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2381" w:rsidRPr="00DA1424" w:rsidRDefault="00B82381" w:rsidP="00D80E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1424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центрального аппарата ФНС России, территориальные налоговые органы</w:t>
            </w:r>
          </w:p>
        </w:tc>
        <w:tc>
          <w:tcPr>
            <w:tcW w:w="1991" w:type="dxa"/>
          </w:tcPr>
          <w:p w:rsidR="00B82381" w:rsidRPr="00DA1424" w:rsidRDefault="00B82381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</w:tcPr>
          <w:p w:rsidR="00B82381" w:rsidRDefault="00B82381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1.Рабочие совещания, проводимые со структурными подразделениями центрального аппарата ФНС России, территориальных налоговых органов</w:t>
            </w:r>
            <w:r w:rsidRPr="00157ED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B82381" w:rsidRPr="00157ED7" w:rsidRDefault="00B82381" w:rsidP="00D80E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2.Общественный совет при ФНС России</w:t>
            </w:r>
          </w:p>
        </w:tc>
        <w:tc>
          <w:tcPr>
            <w:tcW w:w="1845" w:type="dxa"/>
            <w:vMerge/>
          </w:tcPr>
          <w:p w:rsidR="00B82381" w:rsidRPr="00CE6753" w:rsidRDefault="00B82381" w:rsidP="007121D4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1" w:type="dxa"/>
            <w:vMerge/>
          </w:tcPr>
          <w:p w:rsidR="00B82381" w:rsidRPr="00CE6753" w:rsidRDefault="00B82381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22" w:type="dxa"/>
            <w:gridSpan w:val="2"/>
            <w:vMerge/>
          </w:tcPr>
          <w:p w:rsidR="00B82381" w:rsidRPr="00284D1E" w:rsidRDefault="00B82381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381" w:rsidRPr="00622A4F" w:rsidTr="00410865">
        <w:trPr>
          <w:jc w:val="center"/>
        </w:trPr>
        <w:tc>
          <w:tcPr>
            <w:tcW w:w="703" w:type="dxa"/>
          </w:tcPr>
          <w:p w:rsidR="00B82381" w:rsidRPr="00C838E8" w:rsidRDefault="00B82381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III.9</w:t>
            </w:r>
          </w:p>
        </w:tc>
        <w:tc>
          <w:tcPr>
            <w:tcW w:w="1873" w:type="dxa"/>
            <w:vMerge/>
          </w:tcPr>
          <w:p w:rsidR="00B82381" w:rsidRDefault="00B82381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82381" w:rsidRPr="00DA1424" w:rsidRDefault="00B82381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2381" w:rsidRPr="00DA1424" w:rsidRDefault="00B82381" w:rsidP="00D80E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A1424">
              <w:rPr>
                <w:rFonts w:ascii="Times New Roman" w:hAnsi="Times New Roman" w:cs="Times New Roman"/>
                <w:sz w:val="20"/>
                <w:szCs w:val="20"/>
              </w:rPr>
              <w:t>Организации, подведомственные ФНС России (ФКУ «Налог-сервис» ФНС России)</w:t>
            </w:r>
          </w:p>
        </w:tc>
        <w:tc>
          <w:tcPr>
            <w:tcW w:w="1991" w:type="dxa"/>
          </w:tcPr>
          <w:p w:rsidR="00B82381" w:rsidRPr="00DA1424" w:rsidRDefault="00B82381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</w:tcPr>
          <w:p w:rsidR="00B82381" w:rsidRPr="00DA1424" w:rsidRDefault="00B82381" w:rsidP="00D80E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Рабочие совещания, проводимые с подведомственными ФНС России организациями </w:t>
            </w:r>
          </w:p>
        </w:tc>
        <w:tc>
          <w:tcPr>
            <w:tcW w:w="1845" w:type="dxa"/>
            <w:vMerge/>
          </w:tcPr>
          <w:p w:rsidR="00B82381" w:rsidRPr="00DC2614" w:rsidRDefault="00B82381" w:rsidP="00157ED7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B82381" w:rsidRPr="00DA1424" w:rsidRDefault="00B82381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Merge/>
          </w:tcPr>
          <w:p w:rsidR="00B82381" w:rsidRPr="00284D1E" w:rsidRDefault="00B82381" w:rsidP="00B16950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9E7" w:rsidRPr="00622A4F" w:rsidTr="00852F23">
        <w:trPr>
          <w:trHeight w:val="397"/>
          <w:jc w:val="center"/>
        </w:trPr>
        <w:tc>
          <w:tcPr>
            <w:tcW w:w="15751" w:type="dxa"/>
            <w:gridSpan w:val="10"/>
          </w:tcPr>
          <w:p w:rsidR="00DD39E7" w:rsidRPr="00DD39E7" w:rsidRDefault="00DD39E7" w:rsidP="00DD39E7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39E7">
              <w:rPr>
                <w:rFonts w:ascii="Times New Roman" w:hAnsi="Times New Roman" w:cs="Times New Roman"/>
                <w:sz w:val="24"/>
                <w:szCs w:val="24"/>
              </w:rPr>
              <w:t>Управление стандартов и международного сотрудничества</w:t>
            </w:r>
          </w:p>
        </w:tc>
      </w:tr>
      <w:tr w:rsidR="006B6663" w:rsidRPr="00622A4F" w:rsidTr="00410865">
        <w:trPr>
          <w:jc w:val="center"/>
        </w:trPr>
        <w:tc>
          <w:tcPr>
            <w:tcW w:w="703" w:type="dxa"/>
          </w:tcPr>
          <w:p w:rsidR="00C03DD0" w:rsidRPr="00C838E8" w:rsidRDefault="00C838E8" w:rsidP="005208F0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3" w:type="dxa"/>
          </w:tcPr>
          <w:p w:rsidR="003F17A3" w:rsidRDefault="006C201D" w:rsidP="00113F3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Методологическое обеспечение вопросов, входящих в компетенцию Управления</w:t>
            </w:r>
            <w:r w:rsidR="00D01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17A3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нормативных правовых актов</w:t>
            </w:r>
            <w:r w:rsidR="00E97990">
              <w:rPr>
                <w:rFonts w:ascii="Times New Roman" w:hAnsi="Times New Roman" w:cs="Times New Roman"/>
                <w:sz w:val="20"/>
                <w:szCs w:val="20"/>
              </w:rPr>
              <w:t>, работ нормативно-методического характера</w:t>
            </w:r>
            <w:r w:rsidR="00D01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7324" w:rsidRDefault="004A7324" w:rsidP="004A7324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7324">
              <w:rPr>
                <w:rFonts w:ascii="Times New Roman" w:hAnsi="Times New Roman" w:cs="Times New Roman"/>
                <w:sz w:val="20"/>
                <w:szCs w:val="20"/>
              </w:rPr>
              <w:t>азработк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7324">
              <w:rPr>
                <w:rFonts w:ascii="Times New Roman" w:hAnsi="Times New Roman" w:cs="Times New Roman"/>
                <w:sz w:val="20"/>
                <w:szCs w:val="20"/>
              </w:rPr>
              <w:t xml:space="preserve"> и внедрени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7324">
              <w:rPr>
                <w:rFonts w:ascii="Times New Roman" w:hAnsi="Times New Roman" w:cs="Times New Roman"/>
                <w:sz w:val="20"/>
                <w:szCs w:val="20"/>
              </w:rPr>
              <w:t xml:space="preserve"> системы стандартов деятельности и менеджмента качества</w:t>
            </w:r>
            <w:r w:rsidR="002F5802">
              <w:rPr>
                <w:rFonts w:ascii="Times New Roman" w:hAnsi="Times New Roman" w:cs="Times New Roman"/>
                <w:sz w:val="20"/>
                <w:szCs w:val="20"/>
              </w:rPr>
              <w:t xml:space="preserve"> ФНС России</w:t>
            </w:r>
            <w:r w:rsidRPr="004A7324">
              <w:rPr>
                <w:rFonts w:ascii="Times New Roman" w:hAnsi="Times New Roman" w:cs="Times New Roman"/>
                <w:sz w:val="20"/>
                <w:szCs w:val="20"/>
              </w:rPr>
              <w:t xml:space="preserve"> и территориальных налоговых органов</w:t>
            </w:r>
            <w:r w:rsidR="00D01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201D" w:rsidRDefault="004A7324" w:rsidP="004A7324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732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реализация политики </w:t>
            </w:r>
            <w:r w:rsidR="002F5802"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  <w:r w:rsidRPr="004A7324">
              <w:rPr>
                <w:rFonts w:ascii="Times New Roman" w:hAnsi="Times New Roman" w:cs="Times New Roman"/>
                <w:sz w:val="20"/>
                <w:szCs w:val="20"/>
              </w:rPr>
              <w:t xml:space="preserve"> по организации работы с налогоплательщиками, повышению качества и доступности </w:t>
            </w:r>
            <w:r w:rsidRPr="004A73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услуг</w:t>
            </w:r>
            <w:r w:rsidR="00D01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68EB" w:rsidRPr="006168EB" w:rsidRDefault="006168EB" w:rsidP="004A7324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 работы ФНС России в рамках работы проекта «Открытое правительство»</w:t>
            </w:r>
            <w:r w:rsidR="00D01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7324" w:rsidRDefault="004A7324" w:rsidP="004A7324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совещаний-семинаров с управлениями ФНС России по субъектам Российской Федерации по актуальным вопросам </w:t>
            </w:r>
            <w:r w:rsidRPr="004A7324">
              <w:rPr>
                <w:rFonts w:ascii="Times New Roman" w:hAnsi="Times New Roman" w:cs="Times New Roman"/>
                <w:sz w:val="20"/>
                <w:szCs w:val="20"/>
              </w:rPr>
              <w:t>эффективности деятельности</w:t>
            </w:r>
            <w:r w:rsidR="00E05A41">
              <w:rPr>
                <w:rFonts w:ascii="Times New Roman" w:hAnsi="Times New Roman" w:cs="Times New Roman"/>
                <w:sz w:val="20"/>
                <w:szCs w:val="20"/>
              </w:rPr>
              <w:t xml:space="preserve"> и координации работы территориальных налоговых органов</w:t>
            </w:r>
            <w:r w:rsidR="00D01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7324" w:rsidRPr="004A7324" w:rsidRDefault="004A7324" w:rsidP="004A7324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Вопросы участия ФНС России </w:t>
            </w:r>
            <w:r w:rsidRPr="004A7324">
              <w:rPr>
                <w:rFonts w:ascii="Times New Roman" w:hAnsi="Times New Roman" w:cs="Times New Roman"/>
                <w:sz w:val="20"/>
                <w:szCs w:val="20"/>
              </w:rPr>
              <w:t>в международных организациях, двустороннем и многостороннем международном сотрудничестве по налоговым вопросам</w:t>
            </w:r>
            <w:r w:rsidR="00D01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05A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1EEF" w:rsidRPr="00853982" w:rsidRDefault="00E05A41" w:rsidP="00D80E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05A4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информационного обмена и взаимодействия налоговых органов с органами и </w:t>
            </w:r>
            <w:r w:rsidRPr="00E05A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агентами валютного контроля, в рамках компетенции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ФНС России и другие</w:t>
            </w:r>
          </w:p>
        </w:tc>
        <w:tc>
          <w:tcPr>
            <w:tcW w:w="1247" w:type="dxa"/>
          </w:tcPr>
          <w:p w:rsidR="00C03DD0" w:rsidRPr="00853982" w:rsidRDefault="00C8685F" w:rsidP="00C8685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течение </w:t>
            </w:r>
            <w:r w:rsidR="00410865">
              <w:rPr>
                <w:rFonts w:ascii="Times New Roman" w:hAnsi="Times New Roman" w:cs="Times New Roman"/>
                <w:sz w:val="20"/>
                <w:szCs w:val="20"/>
              </w:rPr>
              <w:t>2017 - 2018 гг.</w:t>
            </w:r>
          </w:p>
        </w:tc>
        <w:tc>
          <w:tcPr>
            <w:tcW w:w="2268" w:type="dxa"/>
          </w:tcPr>
          <w:p w:rsidR="000350A1" w:rsidRPr="000350A1" w:rsidRDefault="000350A1" w:rsidP="005208F0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0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Прямые потребители результатов реализуемых ФНС России функций и предоставляемых услуг</w:t>
            </w:r>
            <w:r w:rsidR="00D01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DD0" w:rsidRDefault="000350A1" w:rsidP="005208F0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3B63">
              <w:rPr>
                <w:rFonts w:ascii="Times New Roman" w:hAnsi="Times New Roman" w:cs="Times New Roman"/>
                <w:sz w:val="20"/>
                <w:szCs w:val="20"/>
              </w:rPr>
              <w:t>. Референтные группы, выполняющие обеспечивающие функции</w:t>
            </w:r>
            <w:r w:rsidR="00D80E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0E62" w:rsidRPr="00D80E62">
              <w:rPr>
                <w:rFonts w:ascii="Times New Roman" w:hAnsi="Times New Roman" w:cs="Times New Roman"/>
                <w:sz w:val="20"/>
                <w:szCs w:val="20"/>
              </w:rPr>
              <w:t xml:space="preserve">(структурные подразделения центрального аппарата ФНС России, территориальные налоговые органы, организации, подведомственные ФНС России, информационные разработчики). </w:t>
            </w:r>
            <w:r w:rsidR="00D80E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3B63" w:rsidRDefault="00D018E1" w:rsidP="005208F0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A3B63">
              <w:rPr>
                <w:rFonts w:ascii="Times New Roman" w:hAnsi="Times New Roman" w:cs="Times New Roman"/>
                <w:sz w:val="20"/>
                <w:szCs w:val="20"/>
              </w:rPr>
              <w:t>. Представители научно-исследовательского и образовательного сообщества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3B63" w:rsidRDefault="00D018E1" w:rsidP="002A3B63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A3B63">
              <w:rPr>
                <w:rFonts w:ascii="Times New Roman" w:hAnsi="Times New Roman" w:cs="Times New Roman"/>
                <w:sz w:val="20"/>
                <w:szCs w:val="20"/>
              </w:rPr>
              <w:t>. Представители органов государственной власти, органов местного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3B63" w:rsidRDefault="00D018E1" w:rsidP="002A3B63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A3B63">
              <w:rPr>
                <w:rFonts w:ascii="Times New Roman" w:hAnsi="Times New Roman" w:cs="Times New Roman"/>
                <w:sz w:val="20"/>
                <w:szCs w:val="20"/>
              </w:rPr>
              <w:t xml:space="preserve">. Представители международных </w:t>
            </w:r>
            <w:r w:rsidR="002A3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 и налоговых органов иностранных государств</w:t>
            </w:r>
          </w:p>
          <w:p w:rsidR="006C201D" w:rsidRPr="002A3B63" w:rsidRDefault="006C201D" w:rsidP="002A3B63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:rsidR="00C03DD0" w:rsidRDefault="006B6663" w:rsidP="005208F0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Структурные подразделения центрального аппарата ФНС России</w:t>
            </w:r>
            <w:r w:rsidR="003D1A18">
              <w:rPr>
                <w:rFonts w:ascii="Times New Roman" w:hAnsi="Times New Roman" w:cs="Times New Roman"/>
                <w:sz w:val="20"/>
                <w:szCs w:val="20"/>
              </w:rPr>
              <w:t xml:space="preserve"> и территориальных налоговых органов</w:t>
            </w:r>
            <w:r w:rsidR="00D01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1A18" w:rsidRDefault="003D1A18" w:rsidP="005208F0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Представители научно-исследовательского сообщества</w:t>
            </w:r>
            <w:r w:rsidR="00D01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1A18" w:rsidRPr="003D1A18" w:rsidRDefault="003D1A18" w:rsidP="005208F0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и региональные органы законодательной и исполнительной власти</w:t>
            </w:r>
            <w:r w:rsidR="00D01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1A18" w:rsidRDefault="003D1A18" w:rsidP="005208F0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710DB">
              <w:rPr>
                <w:rFonts w:ascii="Times New Roman" w:hAnsi="Times New Roman" w:cs="Times New Roman"/>
                <w:sz w:val="20"/>
                <w:szCs w:val="20"/>
              </w:rPr>
              <w:t>Информационны</w:t>
            </w:r>
            <w:r w:rsidR="00D018E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710DB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разработчик (АО 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ГНИВЦ»)</w:t>
            </w:r>
            <w:r w:rsidRPr="004710D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1A18" w:rsidRDefault="003D1A18" w:rsidP="005208F0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D1A18">
              <w:rPr>
                <w:rFonts w:ascii="Times New Roman" w:hAnsi="Times New Roman" w:cs="Times New Roman"/>
                <w:sz w:val="20"/>
                <w:szCs w:val="20"/>
              </w:rPr>
              <w:t>Организаци</w:t>
            </w:r>
            <w:r w:rsidR="00D018E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D1A18">
              <w:rPr>
                <w:rFonts w:ascii="Times New Roman" w:hAnsi="Times New Roman" w:cs="Times New Roman"/>
                <w:sz w:val="20"/>
                <w:szCs w:val="20"/>
              </w:rPr>
              <w:t>, подведомственн</w:t>
            </w:r>
            <w:r w:rsidR="00D018E1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3D1A18">
              <w:rPr>
                <w:rFonts w:ascii="Times New Roman" w:hAnsi="Times New Roman" w:cs="Times New Roman"/>
                <w:sz w:val="20"/>
                <w:szCs w:val="20"/>
              </w:rPr>
              <w:t xml:space="preserve"> ФНС России (ФКУ «Налог-сервис» ФНС России)</w:t>
            </w:r>
            <w:r w:rsidR="00D01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1A18" w:rsidRDefault="003D1A18" w:rsidP="005208F0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Аналитический центр при Правительстве Российской Федерации</w:t>
            </w:r>
            <w:r w:rsidR="00D01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1A18" w:rsidRPr="003D1A18" w:rsidRDefault="003D1A18" w:rsidP="005208F0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Международные организации (бюро,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форумы, рабочие группы) </w:t>
            </w:r>
          </w:p>
          <w:p w:rsidR="005F7C0D" w:rsidRDefault="005F7C0D" w:rsidP="005208F0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D39" w:rsidRDefault="00555D39" w:rsidP="005208F0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42E" w:rsidRDefault="00B2342E" w:rsidP="005208F0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663" w:rsidRPr="006B6663" w:rsidRDefault="006B6663" w:rsidP="005208F0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6C201D" w:rsidRDefault="006C201D" w:rsidP="006C201D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20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7C3934">
              <w:rPr>
                <w:rFonts w:ascii="Times New Roman" w:hAnsi="Times New Roman" w:cs="Times New Roman"/>
                <w:sz w:val="20"/>
                <w:szCs w:val="20"/>
              </w:rPr>
              <w:t>Рабочие совещания, проводимые со с</w:t>
            </w:r>
            <w:r w:rsidRPr="006C201D">
              <w:rPr>
                <w:rFonts w:ascii="Times New Roman" w:hAnsi="Times New Roman" w:cs="Times New Roman"/>
                <w:sz w:val="20"/>
                <w:szCs w:val="20"/>
              </w:rPr>
              <w:t>труктурны</w:t>
            </w:r>
            <w:r w:rsidR="007C3934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6C201D">
              <w:rPr>
                <w:rFonts w:ascii="Times New Roman" w:hAnsi="Times New Roman" w:cs="Times New Roman"/>
                <w:sz w:val="20"/>
                <w:szCs w:val="20"/>
              </w:rPr>
              <w:t xml:space="preserve"> подразделения</w:t>
            </w:r>
            <w:r w:rsidR="007C3934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6C201D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центрального аппарата ФНС России, территориальны</w:t>
            </w:r>
            <w:r w:rsidR="007C393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6C201D">
              <w:rPr>
                <w:rFonts w:ascii="Times New Roman" w:hAnsi="Times New Roman" w:cs="Times New Roman"/>
                <w:sz w:val="20"/>
                <w:szCs w:val="20"/>
              </w:rPr>
              <w:t xml:space="preserve"> налоговы</w:t>
            </w:r>
            <w:r w:rsidR="007C393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6C201D">
              <w:rPr>
                <w:rFonts w:ascii="Times New Roman" w:hAnsi="Times New Roman" w:cs="Times New Roman"/>
                <w:sz w:val="20"/>
                <w:szCs w:val="20"/>
              </w:rPr>
              <w:t xml:space="preserve"> орган</w:t>
            </w:r>
            <w:r w:rsidR="007C393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D01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2E6F" w:rsidRPr="006168EB" w:rsidRDefault="00AC0C16" w:rsidP="006C201D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Конференции, форумы, рабочие группы, совещания</w:t>
            </w:r>
            <w:r w:rsidR="00D01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C0C16" w:rsidRDefault="00AC0C16" w:rsidP="006C201D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Общественный совет при ФНС России</w:t>
            </w:r>
            <w:r w:rsidR="00D01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C0C16" w:rsidRPr="006168EB" w:rsidRDefault="00AC0C16" w:rsidP="006C201D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Общественная палата Российской Федерации, Аналитический центр при Правительстве Российской Федерации, </w:t>
            </w:r>
            <w:r w:rsidR="006168EB">
              <w:rPr>
                <w:rFonts w:ascii="Times New Roman" w:hAnsi="Times New Roman" w:cs="Times New Roman"/>
                <w:sz w:val="20"/>
                <w:szCs w:val="20"/>
              </w:rPr>
              <w:t>Правительственная комиссия по координации деятельности открытого правительства</w:t>
            </w:r>
            <w:r w:rsidR="00D01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C0C16" w:rsidRPr="00AC0C16" w:rsidRDefault="00AC0C16" w:rsidP="006C201D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Средства массовой информации</w:t>
            </w:r>
            <w:r w:rsidR="00D01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C3934" w:rsidRDefault="00A462C1" w:rsidP="007C3934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C201D" w:rsidRPr="006C201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168EB" w:rsidRPr="006168EB">
              <w:rPr>
                <w:rFonts w:ascii="Times New Roman" w:hAnsi="Times New Roman" w:cs="Times New Roman"/>
                <w:sz w:val="20"/>
                <w:szCs w:val="20"/>
              </w:rPr>
              <w:t>Международные организации,</w:t>
            </w:r>
            <w:r w:rsidR="007C3934">
              <w:rPr>
                <w:rFonts w:ascii="Times New Roman" w:hAnsi="Times New Roman" w:cs="Times New Roman"/>
                <w:sz w:val="20"/>
                <w:szCs w:val="20"/>
              </w:rPr>
              <w:t xml:space="preserve"> форумы, рабочие группы,</w:t>
            </w:r>
            <w:r w:rsidR="006168EB" w:rsidRPr="006168EB">
              <w:rPr>
                <w:rFonts w:ascii="Times New Roman" w:hAnsi="Times New Roman" w:cs="Times New Roman"/>
                <w:sz w:val="20"/>
                <w:szCs w:val="20"/>
              </w:rPr>
              <w:t xml:space="preserve"> в которых ФНС России выступает в качестве наблюдателя</w:t>
            </w:r>
            <w:r w:rsidR="006168EB">
              <w:rPr>
                <w:rFonts w:ascii="Times New Roman" w:hAnsi="Times New Roman" w:cs="Times New Roman"/>
                <w:sz w:val="20"/>
                <w:szCs w:val="20"/>
              </w:rPr>
              <w:t xml:space="preserve"> и членом которых является</w:t>
            </w:r>
            <w:r w:rsidR="00762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68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68EB" w:rsidRPr="006168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201D" w:rsidRDefault="006C201D" w:rsidP="006C201D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01D" w:rsidRPr="006C201D" w:rsidRDefault="006C201D" w:rsidP="006C201D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285689" w:rsidRPr="00285689" w:rsidRDefault="00066913" w:rsidP="0028568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6913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проекты (https://regulation.gov.ru/, http://programs.gov.ru/Portal/, http://data.gov.ru/, https://vashkontrol.ru/ и др.)</w:t>
            </w:r>
            <w:r w:rsidR="00D01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85689" w:rsidRDefault="00285689" w:rsidP="0028568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Официальный сайт ФНС России</w:t>
            </w:r>
            <w:r w:rsidR="00D01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85689" w:rsidRDefault="00285689" w:rsidP="0028568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Площадки Аналитического центра при Правительстве Российской Федерации</w:t>
            </w:r>
            <w:r w:rsidR="00D01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85689" w:rsidRDefault="000454AD" w:rsidP="0028568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Декларационные и и</w:t>
            </w:r>
            <w:r w:rsidR="00285689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 w:rsidR="007E2DE9">
              <w:rPr>
                <w:rFonts w:ascii="Times New Roman" w:hAnsi="Times New Roman" w:cs="Times New Roman"/>
                <w:sz w:val="20"/>
                <w:szCs w:val="20"/>
              </w:rPr>
              <w:t xml:space="preserve">ионные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кампании</w:t>
            </w:r>
            <w:r w:rsidR="00D01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62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2615" w:rsidRDefault="00762615" w:rsidP="0028568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Площадки </w:t>
            </w:r>
            <w:r w:rsidR="003D1A18">
              <w:rPr>
                <w:rFonts w:ascii="Times New Roman" w:hAnsi="Times New Roman" w:cs="Times New Roman"/>
                <w:sz w:val="20"/>
                <w:szCs w:val="20"/>
              </w:rPr>
              <w:t>проведения международных форумов</w:t>
            </w:r>
            <w:r w:rsidR="00D01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D1A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6913" w:rsidRDefault="00066913" w:rsidP="000454AD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Горячая линия</w:t>
            </w:r>
            <w:r w:rsidR="00D01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6913" w:rsidRPr="00066913" w:rsidRDefault="00066913" w:rsidP="000454AD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Адресная рассылка по участникам референтных групп</w:t>
            </w:r>
            <w:r w:rsidR="00D01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6913" w:rsidRPr="00066913" w:rsidRDefault="00066913" w:rsidP="000454AD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Официальная переписка</w:t>
            </w:r>
          </w:p>
          <w:p w:rsidR="00285689" w:rsidRPr="00285689" w:rsidRDefault="00285689" w:rsidP="0028568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DD0" w:rsidRPr="004F5FB2" w:rsidRDefault="00C03DD0" w:rsidP="000454AD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1F11BB" w:rsidRDefault="001F11BB" w:rsidP="001F11BB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Обратная связь по общегосударственным проектам</w:t>
            </w:r>
            <w:r w:rsidR="00D01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11BB" w:rsidRPr="00590657" w:rsidRDefault="001F11BB" w:rsidP="001F11BB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11BB">
              <w:rPr>
                <w:rFonts w:ascii="Times New Roman" w:hAnsi="Times New Roman" w:cs="Times New Roman"/>
                <w:sz w:val="20"/>
                <w:szCs w:val="20"/>
              </w:rPr>
              <w:t>Официальная переписка</w:t>
            </w:r>
            <w:r w:rsidR="00D01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DD0" w:rsidRDefault="00590657" w:rsidP="00590657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0657">
              <w:rPr>
                <w:rFonts w:ascii="Times New Roman" w:hAnsi="Times New Roman" w:cs="Times New Roman"/>
                <w:sz w:val="20"/>
                <w:szCs w:val="20"/>
              </w:rPr>
              <w:t>Исследование удовлетворенности потребителей государственных и муниципальных услуг</w:t>
            </w:r>
          </w:p>
          <w:p w:rsidR="00590657" w:rsidRPr="00590657" w:rsidRDefault="00590657" w:rsidP="00590657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2"/>
          </w:tcPr>
          <w:p w:rsidR="001D5DD3" w:rsidRDefault="00C8685F" w:rsidP="00C8685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Экспертные обсуждения</w:t>
            </w:r>
            <w:r w:rsidR="00D01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Переговоры, встречи</w:t>
            </w:r>
            <w:r w:rsidR="00D01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0657" w:rsidRDefault="00C8685F" w:rsidP="00C8685F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конкурсах, хакатонах по вопросам использования открытых данных ФНС России, проводимых Минфином России, Аналитическим центром при Правительстве Российской Федерации</w:t>
            </w:r>
            <w:r w:rsidR="00D01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с информационными разработчиками</w:t>
            </w:r>
            <w:r w:rsidR="00D01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совещаний-семинаров по вопросам, относящимся к компетенции Управления</w:t>
            </w:r>
            <w:r w:rsidR="00D01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8685F" w:rsidRPr="002205DA" w:rsidRDefault="00F70F16" w:rsidP="00D80E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0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 обращений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налогоплательщиков</w:t>
            </w:r>
          </w:p>
        </w:tc>
      </w:tr>
      <w:tr w:rsidR="00DD39E7" w:rsidRPr="00622A4F" w:rsidTr="00852F23">
        <w:trPr>
          <w:trHeight w:val="321"/>
          <w:jc w:val="center"/>
        </w:trPr>
        <w:tc>
          <w:tcPr>
            <w:tcW w:w="15751" w:type="dxa"/>
            <w:gridSpan w:val="10"/>
          </w:tcPr>
          <w:p w:rsidR="00DD39E7" w:rsidRPr="00DD39E7" w:rsidRDefault="00DD39E7" w:rsidP="00DD39E7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E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</w:t>
            </w:r>
            <w:r w:rsidRPr="00DD39E7">
              <w:rPr>
                <w:rFonts w:ascii="Times New Roman" w:hAnsi="Times New Roman"/>
                <w:sz w:val="24"/>
                <w:szCs w:val="24"/>
              </w:rPr>
              <w:t>. Управление обеспечения процедур банкротства</w:t>
            </w:r>
          </w:p>
        </w:tc>
      </w:tr>
      <w:tr w:rsidR="006B6663" w:rsidRPr="00622A4F" w:rsidTr="00410865">
        <w:trPr>
          <w:jc w:val="center"/>
        </w:trPr>
        <w:tc>
          <w:tcPr>
            <w:tcW w:w="703" w:type="dxa"/>
          </w:tcPr>
          <w:p w:rsidR="00C03DD0" w:rsidRPr="008F2E28" w:rsidRDefault="008F2E28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873" w:type="dxa"/>
            <w:vMerge w:val="restart"/>
            <w:shd w:val="clear" w:color="auto" w:fill="auto"/>
          </w:tcPr>
          <w:p w:rsidR="00C03DD0" w:rsidRPr="001E34CB" w:rsidRDefault="00C03DD0" w:rsidP="00095F19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1E34CB">
              <w:rPr>
                <w:rFonts w:ascii="Times New Roman" w:hAnsi="Times New Roman"/>
                <w:sz w:val="20"/>
                <w:szCs w:val="20"/>
              </w:rPr>
              <w:t>Совершенствование практики применения законодательства о несостоятельности (банкротстве)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C03DD0" w:rsidRPr="001E34CB" w:rsidRDefault="00410865" w:rsidP="00C8685F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2017 - 2018 гг.</w:t>
            </w:r>
          </w:p>
        </w:tc>
        <w:tc>
          <w:tcPr>
            <w:tcW w:w="2268" w:type="dxa"/>
            <w:shd w:val="clear" w:color="auto" w:fill="auto"/>
          </w:tcPr>
          <w:p w:rsidR="00C03DD0" w:rsidRPr="001E34CB" w:rsidRDefault="00C03DD0" w:rsidP="00095F19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1E34CB">
              <w:rPr>
                <w:rFonts w:ascii="Times New Roman" w:hAnsi="Times New Roman"/>
                <w:sz w:val="20"/>
                <w:szCs w:val="20"/>
              </w:rPr>
              <w:t>1.</w:t>
            </w:r>
            <w:r w:rsidR="002B1295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1E34CB">
              <w:rPr>
                <w:rFonts w:ascii="Times New Roman" w:hAnsi="Times New Roman"/>
                <w:sz w:val="20"/>
                <w:szCs w:val="20"/>
              </w:rPr>
              <w:t>рямые потребители результатов реализуемых ФНС России функций и предоставляемых услуг</w:t>
            </w:r>
          </w:p>
          <w:p w:rsidR="00C03DD0" w:rsidRPr="001E34CB" w:rsidRDefault="00C03DD0" w:rsidP="00095F19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:rsidR="00C03DD0" w:rsidRPr="001E34CB" w:rsidRDefault="00C03DD0" w:rsidP="00095F19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1E34CB">
              <w:rPr>
                <w:rFonts w:ascii="Times New Roman" w:hAnsi="Times New Roman"/>
                <w:sz w:val="20"/>
                <w:szCs w:val="20"/>
              </w:rPr>
              <w:t>Саморегулируемые организации арбитражных управляющих и арбитражные управляющие</w:t>
            </w:r>
          </w:p>
        </w:tc>
        <w:tc>
          <w:tcPr>
            <w:tcW w:w="2541" w:type="dxa"/>
            <w:vMerge w:val="restart"/>
            <w:shd w:val="clear" w:color="auto" w:fill="auto"/>
          </w:tcPr>
          <w:p w:rsidR="00C03DD0" w:rsidRPr="001E34CB" w:rsidRDefault="00C03DD0" w:rsidP="00095F19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1E34CB">
              <w:rPr>
                <w:rFonts w:ascii="Times New Roman" w:hAnsi="Times New Roman"/>
                <w:sz w:val="20"/>
                <w:szCs w:val="20"/>
              </w:rPr>
              <w:t>Экспертный совет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ФНС России  по с</w:t>
            </w:r>
            <w:r w:rsidRPr="00AD6804">
              <w:rPr>
                <w:rFonts w:ascii="Times New Roman" w:hAnsi="Times New Roman"/>
                <w:sz w:val="20"/>
                <w:szCs w:val="20"/>
              </w:rPr>
              <w:t>овершенствовани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AD6804">
              <w:rPr>
                <w:rFonts w:ascii="Times New Roman" w:hAnsi="Times New Roman"/>
                <w:sz w:val="20"/>
                <w:szCs w:val="20"/>
              </w:rPr>
              <w:t xml:space="preserve"> практики применения законодательства о несостоятельности (банкротстве)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C03DD0" w:rsidRPr="001E34CB" w:rsidRDefault="00C03DD0" w:rsidP="000E560A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4C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C03DD0" w:rsidRPr="001E34CB" w:rsidRDefault="00C03DD0" w:rsidP="000E560A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4C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2" w:type="dxa"/>
            <w:gridSpan w:val="2"/>
            <w:vMerge w:val="restart"/>
            <w:shd w:val="clear" w:color="auto" w:fill="auto"/>
          </w:tcPr>
          <w:p w:rsidR="00C03DD0" w:rsidRPr="001E34CB" w:rsidRDefault="00C03DD0" w:rsidP="00095F19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1E34CB">
              <w:rPr>
                <w:rFonts w:ascii="Times New Roman" w:hAnsi="Times New Roman"/>
                <w:sz w:val="20"/>
                <w:szCs w:val="20"/>
              </w:rPr>
              <w:t>Экспертные обсуждения</w:t>
            </w:r>
          </w:p>
        </w:tc>
      </w:tr>
      <w:tr w:rsidR="006B6663" w:rsidRPr="00622A4F" w:rsidTr="00410865">
        <w:trPr>
          <w:jc w:val="center"/>
        </w:trPr>
        <w:tc>
          <w:tcPr>
            <w:tcW w:w="703" w:type="dxa"/>
          </w:tcPr>
          <w:p w:rsidR="00C03DD0" w:rsidRPr="007E2DE9" w:rsidRDefault="007E2DE9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IV.2</w:t>
            </w:r>
          </w:p>
        </w:tc>
        <w:tc>
          <w:tcPr>
            <w:tcW w:w="1873" w:type="dxa"/>
            <w:vMerge/>
          </w:tcPr>
          <w:p w:rsidR="00C03DD0" w:rsidRPr="00853982" w:rsidRDefault="00C03DD0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03DD0" w:rsidRPr="00853982" w:rsidRDefault="00C03DD0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03DD0" w:rsidRPr="001E34CB" w:rsidRDefault="00C03DD0" w:rsidP="00861CA2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1E34CB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861CA2">
              <w:rPr>
                <w:rFonts w:ascii="Times New Roman" w:hAnsi="Times New Roman"/>
                <w:sz w:val="20"/>
                <w:szCs w:val="20"/>
              </w:rPr>
              <w:t>П</w:t>
            </w:r>
            <w:r w:rsidRPr="001E34CB">
              <w:rPr>
                <w:rFonts w:ascii="Times New Roman" w:hAnsi="Times New Roman"/>
                <w:sz w:val="20"/>
                <w:szCs w:val="20"/>
              </w:rPr>
              <w:t>редставители органов государственной власти, органов местного самоуправления, а также Центральный банк Российской Федерации</w:t>
            </w:r>
          </w:p>
        </w:tc>
        <w:tc>
          <w:tcPr>
            <w:tcW w:w="1991" w:type="dxa"/>
            <w:shd w:val="clear" w:color="auto" w:fill="auto"/>
          </w:tcPr>
          <w:p w:rsidR="00C03DD0" w:rsidRPr="001E34CB" w:rsidRDefault="00C03DD0" w:rsidP="00095F19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1E34CB">
              <w:rPr>
                <w:rFonts w:ascii="Times New Roman" w:hAnsi="Times New Roman"/>
                <w:sz w:val="20"/>
                <w:szCs w:val="20"/>
              </w:rPr>
              <w:t xml:space="preserve">Государственная Дума Российской Федерации </w:t>
            </w:r>
          </w:p>
        </w:tc>
        <w:tc>
          <w:tcPr>
            <w:tcW w:w="2541" w:type="dxa"/>
            <w:vMerge/>
          </w:tcPr>
          <w:p w:rsidR="00C03DD0" w:rsidRPr="00853982" w:rsidRDefault="00C03DD0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C03DD0" w:rsidRPr="00853982" w:rsidRDefault="00C03DD0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C03DD0" w:rsidRPr="00853982" w:rsidRDefault="00C03DD0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Merge/>
          </w:tcPr>
          <w:p w:rsidR="00C03DD0" w:rsidRPr="00853982" w:rsidRDefault="00C03DD0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663" w:rsidRPr="00622A4F" w:rsidTr="00410865">
        <w:trPr>
          <w:jc w:val="center"/>
        </w:trPr>
        <w:tc>
          <w:tcPr>
            <w:tcW w:w="703" w:type="dxa"/>
          </w:tcPr>
          <w:p w:rsidR="00C03DD0" w:rsidRPr="007E2DE9" w:rsidRDefault="007E2DE9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IV.3</w:t>
            </w:r>
          </w:p>
        </w:tc>
        <w:tc>
          <w:tcPr>
            <w:tcW w:w="1873" w:type="dxa"/>
            <w:vMerge/>
          </w:tcPr>
          <w:p w:rsidR="00C03DD0" w:rsidRPr="00853982" w:rsidRDefault="00C03DD0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03DD0" w:rsidRPr="00853982" w:rsidRDefault="00C03DD0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03DD0" w:rsidRPr="001E34CB" w:rsidRDefault="00C03DD0" w:rsidP="00095F19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1E34CB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B2342E">
              <w:rPr>
                <w:rFonts w:ascii="Times New Roman" w:hAnsi="Times New Roman"/>
                <w:sz w:val="20"/>
                <w:szCs w:val="20"/>
              </w:rPr>
              <w:t>П</w:t>
            </w:r>
            <w:r w:rsidRPr="001E34CB">
              <w:rPr>
                <w:rFonts w:ascii="Times New Roman" w:hAnsi="Times New Roman"/>
                <w:sz w:val="20"/>
                <w:szCs w:val="20"/>
              </w:rPr>
              <w:t>редставители научно-исследовательского  и образовательного сообщества</w:t>
            </w:r>
          </w:p>
          <w:p w:rsidR="00C03DD0" w:rsidRPr="001E34CB" w:rsidRDefault="00C03DD0" w:rsidP="00095F19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:rsidR="00C03DD0" w:rsidRPr="001E34CB" w:rsidRDefault="00C03DD0" w:rsidP="00095F19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1E34CB">
              <w:rPr>
                <w:rFonts w:ascii="Times New Roman" w:hAnsi="Times New Roman"/>
                <w:sz w:val="20"/>
                <w:szCs w:val="20"/>
              </w:rPr>
              <w:t xml:space="preserve">Финансовый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E34CB">
              <w:rPr>
                <w:rFonts w:ascii="Times New Roman" w:hAnsi="Times New Roman"/>
                <w:sz w:val="20"/>
                <w:szCs w:val="20"/>
              </w:rPr>
              <w:t>ниверситет при Правительстве Российской Федерации, Московский государственный юридический университет им. О.Е. Кутафина,</w:t>
            </w:r>
          </w:p>
        </w:tc>
        <w:tc>
          <w:tcPr>
            <w:tcW w:w="2541" w:type="dxa"/>
            <w:vMerge/>
          </w:tcPr>
          <w:p w:rsidR="00C03DD0" w:rsidRPr="00853982" w:rsidRDefault="00C03DD0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C03DD0" w:rsidRPr="00853982" w:rsidRDefault="00C03DD0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C03DD0" w:rsidRPr="00853982" w:rsidRDefault="00C03DD0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Merge/>
          </w:tcPr>
          <w:p w:rsidR="00C03DD0" w:rsidRPr="00853982" w:rsidRDefault="00C03DD0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663" w:rsidRPr="00622A4F" w:rsidTr="00410865">
        <w:trPr>
          <w:jc w:val="center"/>
        </w:trPr>
        <w:tc>
          <w:tcPr>
            <w:tcW w:w="703" w:type="dxa"/>
          </w:tcPr>
          <w:p w:rsidR="00C03DD0" w:rsidRPr="003F17A3" w:rsidRDefault="007E2DE9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IV.4</w:t>
            </w:r>
          </w:p>
        </w:tc>
        <w:tc>
          <w:tcPr>
            <w:tcW w:w="1873" w:type="dxa"/>
            <w:vMerge/>
          </w:tcPr>
          <w:p w:rsidR="00C03DD0" w:rsidRPr="00853982" w:rsidRDefault="00C03DD0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03DD0" w:rsidRPr="00853982" w:rsidRDefault="00C03DD0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03DD0" w:rsidRPr="001E34CB" w:rsidRDefault="00C03DD0" w:rsidP="00095F19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1E34CB">
              <w:rPr>
                <w:rFonts w:ascii="Times New Roman" w:hAnsi="Times New Roman"/>
                <w:sz w:val="20"/>
                <w:szCs w:val="20"/>
              </w:rPr>
              <w:t>4. Иные референтные группы ФНС России</w:t>
            </w:r>
          </w:p>
          <w:p w:rsidR="00C03DD0" w:rsidRPr="001E34CB" w:rsidRDefault="00C03DD0" w:rsidP="00095F19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:rsidR="00C03DD0" w:rsidRPr="001E34CB" w:rsidRDefault="00C03DD0" w:rsidP="00095F19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 w:rsidRPr="001E34CB">
              <w:rPr>
                <w:rFonts w:ascii="Times New Roman" w:hAnsi="Times New Roman"/>
                <w:sz w:val="20"/>
                <w:szCs w:val="20"/>
              </w:rPr>
              <w:t>Государственная корпорация «Агентство по страхованию вкладов»</w:t>
            </w:r>
          </w:p>
        </w:tc>
        <w:tc>
          <w:tcPr>
            <w:tcW w:w="2541" w:type="dxa"/>
            <w:vMerge/>
          </w:tcPr>
          <w:p w:rsidR="00C03DD0" w:rsidRPr="00853982" w:rsidRDefault="00C03DD0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</w:tcPr>
          <w:p w:rsidR="00C03DD0" w:rsidRPr="00853982" w:rsidRDefault="00C03DD0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C03DD0" w:rsidRPr="00853982" w:rsidRDefault="00C03DD0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Merge/>
          </w:tcPr>
          <w:p w:rsidR="00C03DD0" w:rsidRPr="00853982" w:rsidRDefault="00C03DD0" w:rsidP="00095F19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0269" w:rsidRDefault="00F80269" w:rsidP="00622A4F">
      <w:pPr>
        <w:tabs>
          <w:tab w:val="left" w:pos="1290"/>
          <w:tab w:val="left" w:pos="11766"/>
        </w:tabs>
        <w:rPr>
          <w:rFonts w:ascii="Times New Roman" w:hAnsi="Times New Roman" w:cs="Times New Roman"/>
        </w:rPr>
      </w:pPr>
    </w:p>
    <w:p w:rsidR="00F80269" w:rsidRPr="00AF64EB" w:rsidRDefault="00F80269" w:rsidP="00B52BC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80269" w:rsidRDefault="00F80269" w:rsidP="00F8026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80269" w:rsidRPr="00F80269" w:rsidRDefault="00F80269" w:rsidP="00F8026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F80269" w:rsidRPr="00F80269" w:rsidSect="006D2B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7FB" w:rsidRDefault="00BF07FB" w:rsidP="006D2B0D">
      <w:pPr>
        <w:spacing w:after="0" w:line="240" w:lineRule="auto"/>
      </w:pPr>
      <w:r>
        <w:separator/>
      </w:r>
    </w:p>
  </w:endnote>
  <w:endnote w:type="continuationSeparator" w:id="0">
    <w:p w:rsidR="00BF07FB" w:rsidRDefault="00BF07FB" w:rsidP="006D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B12" w:rsidRDefault="00C52B1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A6E" w:rsidRPr="00C52B12" w:rsidRDefault="001E5A6E" w:rsidP="00C52B1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A6E" w:rsidRPr="00C52B12" w:rsidRDefault="001E5A6E" w:rsidP="00C52B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7FB" w:rsidRDefault="00BF07FB" w:rsidP="006D2B0D">
      <w:pPr>
        <w:spacing w:after="0" w:line="240" w:lineRule="auto"/>
      </w:pPr>
      <w:r>
        <w:separator/>
      </w:r>
    </w:p>
  </w:footnote>
  <w:footnote w:type="continuationSeparator" w:id="0">
    <w:p w:rsidR="00BF07FB" w:rsidRDefault="00BF07FB" w:rsidP="006D2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B12" w:rsidRDefault="00C52B1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0532038"/>
      <w:docPartObj>
        <w:docPartGallery w:val="Page Numbers (Top of Page)"/>
        <w:docPartUnique/>
      </w:docPartObj>
    </w:sdtPr>
    <w:sdtEndPr/>
    <w:sdtContent>
      <w:p w:rsidR="006D2B0D" w:rsidRPr="001E5A6E" w:rsidRDefault="006D2B0D" w:rsidP="006D2B0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3B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B12" w:rsidRDefault="00C52B1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F7"/>
    <w:rsid w:val="00033EF2"/>
    <w:rsid w:val="000350A1"/>
    <w:rsid w:val="00044016"/>
    <w:rsid w:val="000454AD"/>
    <w:rsid w:val="00066913"/>
    <w:rsid w:val="000850AF"/>
    <w:rsid w:val="00095F19"/>
    <w:rsid w:val="000D2FF7"/>
    <w:rsid w:val="000E560A"/>
    <w:rsid w:val="00113419"/>
    <w:rsid w:val="00113F3F"/>
    <w:rsid w:val="00157ED7"/>
    <w:rsid w:val="00197FF5"/>
    <w:rsid w:val="001A0DB3"/>
    <w:rsid w:val="001C52E1"/>
    <w:rsid w:val="001C6945"/>
    <w:rsid w:val="001D5DD3"/>
    <w:rsid w:val="001E0201"/>
    <w:rsid w:val="001E5A6E"/>
    <w:rsid w:val="001F11BB"/>
    <w:rsid w:val="002356CD"/>
    <w:rsid w:val="00262E6F"/>
    <w:rsid w:val="00267AB3"/>
    <w:rsid w:val="00271FF5"/>
    <w:rsid w:val="00285689"/>
    <w:rsid w:val="002A3B63"/>
    <w:rsid w:val="002B1295"/>
    <w:rsid w:val="002B20A7"/>
    <w:rsid w:val="002C145B"/>
    <w:rsid w:val="002D31C0"/>
    <w:rsid w:val="002F5802"/>
    <w:rsid w:val="00304CC7"/>
    <w:rsid w:val="00335F5F"/>
    <w:rsid w:val="003519CE"/>
    <w:rsid w:val="003803B7"/>
    <w:rsid w:val="003B1BCC"/>
    <w:rsid w:val="003B36CA"/>
    <w:rsid w:val="003C0DAC"/>
    <w:rsid w:val="003C1103"/>
    <w:rsid w:val="003C1CCD"/>
    <w:rsid w:val="003D1A18"/>
    <w:rsid w:val="003F17A3"/>
    <w:rsid w:val="003F4CF1"/>
    <w:rsid w:val="00403C5F"/>
    <w:rsid w:val="00410865"/>
    <w:rsid w:val="00430E1C"/>
    <w:rsid w:val="004311C1"/>
    <w:rsid w:val="004710DB"/>
    <w:rsid w:val="00484A58"/>
    <w:rsid w:val="004A7324"/>
    <w:rsid w:val="004E6E9B"/>
    <w:rsid w:val="004F5FB2"/>
    <w:rsid w:val="00511FBB"/>
    <w:rsid w:val="00517559"/>
    <w:rsid w:val="005208F0"/>
    <w:rsid w:val="0052108F"/>
    <w:rsid w:val="00555D39"/>
    <w:rsid w:val="00570615"/>
    <w:rsid w:val="00590657"/>
    <w:rsid w:val="005F7C0D"/>
    <w:rsid w:val="00606472"/>
    <w:rsid w:val="006168EB"/>
    <w:rsid w:val="00622A4F"/>
    <w:rsid w:val="00674A94"/>
    <w:rsid w:val="00675AE6"/>
    <w:rsid w:val="006A16A8"/>
    <w:rsid w:val="006B2577"/>
    <w:rsid w:val="006B6663"/>
    <w:rsid w:val="006C201D"/>
    <w:rsid w:val="006D2B0D"/>
    <w:rsid w:val="006F37B0"/>
    <w:rsid w:val="007121D4"/>
    <w:rsid w:val="00720660"/>
    <w:rsid w:val="0073170D"/>
    <w:rsid w:val="00762615"/>
    <w:rsid w:val="007703FA"/>
    <w:rsid w:val="0079478F"/>
    <w:rsid w:val="007C3934"/>
    <w:rsid w:val="007E2DE9"/>
    <w:rsid w:val="0081393B"/>
    <w:rsid w:val="00821ECC"/>
    <w:rsid w:val="00852F23"/>
    <w:rsid w:val="00853982"/>
    <w:rsid w:val="00861CA2"/>
    <w:rsid w:val="0088121F"/>
    <w:rsid w:val="00883C91"/>
    <w:rsid w:val="008877B6"/>
    <w:rsid w:val="008901BE"/>
    <w:rsid w:val="00895C8E"/>
    <w:rsid w:val="008A04C5"/>
    <w:rsid w:val="008F2E28"/>
    <w:rsid w:val="00906805"/>
    <w:rsid w:val="00936FF1"/>
    <w:rsid w:val="00942A69"/>
    <w:rsid w:val="009841E8"/>
    <w:rsid w:val="00985456"/>
    <w:rsid w:val="009B31CA"/>
    <w:rsid w:val="009B6B13"/>
    <w:rsid w:val="009F419D"/>
    <w:rsid w:val="009F6ADE"/>
    <w:rsid w:val="009F6F76"/>
    <w:rsid w:val="00A04246"/>
    <w:rsid w:val="00A17996"/>
    <w:rsid w:val="00A20934"/>
    <w:rsid w:val="00A462C1"/>
    <w:rsid w:val="00A60BD9"/>
    <w:rsid w:val="00AB79B6"/>
    <w:rsid w:val="00AC0C16"/>
    <w:rsid w:val="00AD6642"/>
    <w:rsid w:val="00AE3FEC"/>
    <w:rsid w:val="00AF64EB"/>
    <w:rsid w:val="00B16950"/>
    <w:rsid w:val="00B2342E"/>
    <w:rsid w:val="00B52BCC"/>
    <w:rsid w:val="00B55964"/>
    <w:rsid w:val="00B55AC7"/>
    <w:rsid w:val="00B7006D"/>
    <w:rsid w:val="00B803BE"/>
    <w:rsid w:val="00B82381"/>
    <w:rsid w:val="00BC5216"/>
    <w:rsid w:val="00BE66D6"/>
    <w:rsid w:val="00BF07FB"/>
    <w:rsid w:val="00C02434"/>
    <w:rsid w:val="00C03DD0"/>
    <w:rsid w:val="00C0494D"/>
    <w:rsid w:val="00C14B61"/>
    <w:rsid w:val="00C40886"/>
    <w:rsid w:val="00C52B12"/>
    <w:rsid w:val="00C7035A"/>
    <w:rsid w:val="00C838E8"/>
    <w:rsid w:val="00C8685F"/>
    <w:rsid w:val="00C92739"/>
    <w:rsid w:val="00CA60BC"/>
    <w:rsid w:val="00CE6753"/>
    <w:rsid w:val="00D018E1"/>
    <w:rsid w:val="00D0416F"/>
    <w:rsid w:val="00D0721F"/>
    <w:rsid w:val="00D51DFF"/>
    <w:rsid w:val="00D61EEF"/>
    <w:rsid w:val="00D65C98"/>
    <w:rsid w:val="00D80E62"/>
    <w:rsid w:val="00D961D6"/>
    <w:rsid w:val="00DB2C68"/>
    <w:rsid w:val="00DD39E7"/>
    <w:rsid w:val="00E03C98"/>
    <w:rsid w:val="00E05A41"/>
    <w:rsid w:val="00E1048E"/>
    <w:rsid w:val="00E135A6"/>
    <w:rsid w:val="00E14DA0"/>
    <w:rsid w:val="00E3428B"/>
    <w:rsid w:val="00E45941"/>
    <w:rsid w:val="00E65A15"/>
    <w:rsid w:val="00E97990"/>
    <w:rsid w:val="00ED03BA"/>
    <w:rsid w:val="00EE467E"/>
    <w:rsid w:val="00EF124F"/>
    <w:rsid w:val="00EF6868"/>
    <w:rsid w:val="00F47473"/>
    <w:rsid w:val="00F51101"/>
    <w:rsid w:val="00F54419"/>
    <w:rsid w:val="00F617C6"/>
    <w:rsid w:val="00F67669"/>
    <w:rsid w:val="00F70F16"/>
    <w:rsid w:val="00F73679"/>
    <w:rsid w:val="00F80269"/>
    <w:rsid w:val="00FC31EF"/>
    <w:rsid w:val="00FE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59E9A-D792-4D21-82FD-31DE0824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08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6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E9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2066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D2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2B0D"/>
  </w:style>
  <w:style w:type="paragraph" w:styleId="aa">
    <w:name w:val="footer"/>
    <w:basedOn w:val="a"/>
    <w:link w:val="ab"/>
    <w:uiPriority w:val="99"/>
    <w:unhideWhenUsed/>
    <w:rsid w:val="006D2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2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gulation.gov@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77D5A-84C2-44DB-B655-126C8FCA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Шматова Анастасия Александровна</dc:creator>
  <cp:lastModifiedBy>Целищев Олег Игоревич</cp:lastModifiedBy>
  <cp:revision>2</cp:revision>
  <cp:lastPrinted>2017-07-05T08:07:00Z</cp:lastPrinted>
  <dcterms:created xsi:type="dcterms:W3CDTF">2017-07-28T12:26:00Z</dcterms:created>
  <dcterms:modified xsi:type="dcterms:W3CDTF">2017-07-28T12:26:00Z</dcterms:modified>
</cp:coreProperties>
</file>