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8C" w:rsidRDefault="000733BC" w:rsidP="00BE4FC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331</wp:posOffset>
            </wp:positionV>
            <wp:extent cx="9611360" cy="6461339"/>
            <wp:effectExtent l="0" t="0" r="8890" b="15875"/>
            <wp:wrapSquare wrapText="bothSides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CC56AB" w:rsidRDefault="00CC56AB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B34C419" wp14:editId="7253B47E">
            <wp:simplePos x="0" y="0"/>
            <wp:positionH relativeFrom="margin">
              <wp:align>left</wp:align>
            </wp:positionH>
            <wp:positionV relativeFrom="paragraph">
              <wp:posOffset>331</wp:posOffset>
            </wp:positionV>
            <wp:extent cx="9542780" cy="6672580"/>
            <wp:effectExtent l="0" t="0" r="1270" b="0"/>
            <wp:wrapSquare wrapText="right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A4" w:rsidRDefault="00CC56AB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-45085</wp:posOffset>
            </wp:positionH>
            <wp:positionV relativeFrom="paragraph">
              <wp:posOffset>97155</wp:posOffset>
            </wp:positionV>
            <wp:extent cx="9601200" cy="6366510"/>
            <wp:effectExtent l="0" t="0" r="0" b="0"/>
            <wp:wrapSquare wrapText="right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2A4" w:rsidSect="003030F1">
      <w:headerReference w:type="first" r:id="rId10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BB" w:rsidRDefault="00AE40BB" w:rsidP="004873FA">
      <w:pPr>
        <w:spacing w:after="0" w:line="240" w:lineRule="auto"/>
      </w:pPr>
      <w:r>
        <w:separator/>
      </w:r>
    </w:p>
  </w:endnote>
  <w:endnote w:type="continuationSeparator" w:id="0">
    <w:p w:rsidR="00AE40BB" w:rsidRDefault="00AE40BB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BB" w:rsidRDefault="00AE40BB" w:rsidP="004873FA">
      <w:pPr>
        <w:spacing w:after="0" w:line="240" w:lineRule="auto"/>
      </w:pPr>
      <w:r>
        <w:separator/>
      </w:r>
    </w:p>
  </w:footnote>
  <w:footnote w:type="continuationSeparator" w:id="0">
    <w:p w:rsidR="00AE40BB" w:rsidRDefault="00AE40BB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№ </w:t>
    </w:r>
    <w:r w:rsidR="0058040E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38"/>
    <w:rsid w:val="00001DC6"/>
    <w:rsid w:val="0004213F"/>
    <w:rsid w:val="00047161"/>
    <w:rsid w:val="00047E11"/>
    <w:rsid w:val="0005321A"/>
    <w:rsid w:val="00064D05"/>
    <w:rsid w:val="000733BC"/>
    <w:rsid w:val="00090EAB"/>
    <w:rsid w:val="00094738"/>
    <w:rsid w:val="000B3A5D"/>
    <w:rsid w:val="000B7EE5"/>
    <w:rsid w:val="000C66B4"/>
    <w:rsid w:val="000D4F8E"/>
    <w:rsid w:val="000E18DF"/>
    <w:rsid w:val="000E3635"/>
    <w:rsid w:val="00102250"/>
    <w:rsid w:val="0011361C"/>
    <w:rsid w:val="001142B6"/>
    <w:rsid w:val="00122D08"/>
    <w:rsid w:val="00133E38"/>
    <w:rsid w:val="00141183"/>
    <w:rsid w:val="00145B13"/>
    <w:rsid w:val="0018701F"/>
    <w:rsid w:val="00194AFE"/>
    <w:rsid w:val="001A607B"/>
    <w:rsid w:val="001A60A0"/>
    <w:rsid w:val="001B1DAC"/>
    <w:rsid w:val="001C5CF5"/>
    <w:rsid w:val="001C63FC"/>
    <w:rsid w:val="001F5471"/>
    <w:rsid w:val="00221ABA"/>
    <w:rsid w:val="00232F68"/>
    <w:rsid w:val="002360BD"/>
    <w:rsid w:val="00256F9D"/>
    <w:rsid w:val="00284184"/>
    <w:rsid w:val="00290B7F"/>
    <w:rsid w:val="002A28CF"/>
    <w:rsid w:val="002B3D93"/>
    <w:rsid w:val="002B77F6"/>
    <w:rsid w:val="002C7DC7"/>
    <w:rsid w:val="003030F1"/>
    <w:rsid w:val="0031366A"/>
    <w:rsid w:val="0035587D"/>
    <w:rsid w:val="00357800"/>
    <w:rsid w:val="00367012"/>
    <w:rsid w:val="00373571"/>
    <w:rsid w:val="00385183"/>
    <w:rsid w:val="003901EF"/>
    <w:rsid w:val="00392CA2"/>
    <w:rsid w:val="003978BA"/>
    <w:rsid w:val="003A4B82"/>
    <w:rsid w:val="003B1A72"/>
    <w:rsid w:val="003B1E7A"/>
    <w:rsid w:val="003D2FD3"/>
    <w:rsid w:val="003E5424"/>
    <w:rsid w:val="003F386E"/>
    <w:rsid w:val="003F548B"/>
    <w:rsid w:val="00406687"/>
    <w:rsid w:val="00416A45"/>
    <w:rsid w:val="004208FD"/>
    <w:rsid w:val="004254FD"/>
    <w:rsid w:val="00426CAA"/>
    <w:rsid w:val="0045497F"/>
    <w:rsid w:val="004615A1"/>
    <w:rsid w:val="00484359"/>
    <w:rsid w:val="004873FA"/>
    <w:rsid w:val="004962F7"/>
    <w:rsid w:val="004C0328"/>
    <w:rsid w:val="004E5F11"/>
    <w:rsid w:val="004F0E1A"/>
    <w:rsid w:val="004F408C"/>
    <w:rsid w:val="00501C7D"/>
    <w:rsid w:val="0051141F"/>
    <w:rsid w:val="00522962"/>
    <w:rsid w:val="00526F8B"/>
    <w:rsid w:val="00544E8E"/>
    <w:rsid w:val="0055547B"/>
    <w:rsid w:val="00571D29"/>
    <w:rsid w:val="0058040E"/>
    <w:rsid w:val="005843AD"/>
    <w:rsid w:val="005C1DAA"/>
    <w:rsid w:val="005E57C7"/>
    <w:rsid w:val="00625B76"/>
    <w:rsid w:val="00626537"/>
    <w:rsid w:val="0063429F"/>
    <w:rsid w:val="006456D9"/>
    <w:rsid w:val="00675658"/>
    <w:rsid w:val="0067603B"/>
    <w:rsid w:val="00676F10"/>
    <w:rsid w:val="00680B03"/>
    <w:rsid w:val="006B1040"/>
    <w:rsid w:val="006B546B"/>
    <w:rsid w:val="006C52F4"/>
    <w:rsid w:val="006F0172"/>
    <w:rsid w:val="00711B5D"/>
    <w:rsid w:val="00721A72"/>
    <w:rsid w:val="00752D9C"/>
    <w:rsid w:val="00753E28"/>
    <w:rsid w:val="00763512"/>
    <w:rsid w:val="007659E1"/>
    <w:rsid w:val="00771E95"/>
    <w:rsid w:val="0077726A"/>
    <w:rsid w:val="00782D19"/>
    <w:rsid w:val="007A7969"/>
    <w:rsid w:val="007A7B7C"/>
    <w:rsid w:val="007C61D4"/>
    <w:rsid w:val="007F3C2E"/>
    <w:rsid w:val="0080505A"/>
    <w:rsid w:val="008304E2"/>
    <w:rsid w:val="008533EE"/>
    <w:rsid w:val="00863781"/>
    <w:rsid w:val="00875C1A"/>
    <w:rsid w:val="008846B6"/>
    <w:rsid w:val="008C73C4"/>
    <w:rsid w:val="008D1568"/>
    <w:rsid w:val="008E715E"/>
    <w:rsid w:val="008F37B6"/>
    <w:rsid w:val="00900C2E"/>
    <w:rsid w:val="00903CB6"/>
    <w:rsid w:val="00904B54"/>
    <w:rsid w:val="00910EAD"/>
    <w:rsid w:val="00953A38"/>
    <w:rsid w:val="009E016F"/>
    <w:rsid w:val="009F50ED"/>
    <w:rsid w:val="00A03D12"/>
    <w:rsid w:val="00A179B4"/>
    <w:rsid w:val="00A23C37"/>
    <w:rsid w:val="00A5088D"/>
    <w:rsid w:val="00A52B2B"/>
    <w:rsid w:val="00A52F34"/>
    <w:rsid w:val="00A54D08"/>
    <w:rsid w:val="00A60C37"/>
    <w:rsid w:val="00A64B8B"/>
    <w:rsid w:val="00A65B4E"/>
    <w:rsid w:val="00A71562"/>
    <w:rsid w:val="00A74A3D"/>
    <w:rsid w:val="00A7761F"/>
    <w:rsid w:val="00A83D16"/>
    <w:rsid w:val="00A86089"/>
    <w:rsid w:val="00AE244A"/>
    <w:rsid w:val="00AE40BB"/>
    <w:rsid w:val="00AE538B"/>
    <w:rsid w:val="00AF71E6"/>
    <w:rsid w:val="00B01726"/>
    <w:rsid w:val="00B1720A"/>
    <w:rsid w:val="00B230B8"/>
    <w:rsid w:val="00B306B0"/>
    <w:rsid w:val="00B354A2"/>
    <w:rsid w:val="00B371A6"/>
    <w:rsid w:val="00B460D0"/>
    <w:rsid w:val="00B5267A"/>
    <w:rsid w:val="00B66F23"/>
    <w:rsid w:val="00B81C69"/>
    <w:rsid w:val="00BA746D"/>
    <w:rsid w:val="00BD1FB6"/>
    <w:rsid w:val="00BE0573"/>
    <w:rsid w:val="00BE3D84"/>
    <w:rsid w:val="00BE4FC0"/>
    <w:rsid w:val="00BF42CC"/>
    <w:rsid w:val="00C12185"/>
    <w:rsid w:val="00C2074F"/>
    <w:rsid w:val="00C40228"/>
    <w:rsid w:val="00C85327"/>
    <w:rsid w:val="00CA0295"/>
    <w:rsid w:val="00CB133E"/>
    <w:rsid w:val="00CB4EA7"/>
    <w:rsid w:val="00CC56AB"/>
    <w:rsid w:val="00CE7B6E"/>
    <w:rsid w:val="00D0338E"/>
    <w:rsid w:val="00D20BE6"/>
    <w:rsid w:val="00D3511C"/>
    <w:rsid w:val="00D60A88"/>
    <w:rsid w:val="00D67693"/>
    <w:rsid w:val="00D72807"/>
    <w:rsid w:val="00D72E32"/>
    <w:rsid w:val="00D77279"/>
    <w:rsid w:val="00D818AA"/>
    <w:rsid w:val="00DB517A"/>
    <w:rsid w:val="00DC7055"/>
    <w:rsid w:val="00E252A4"/>
    <w:rsid w:val="00E342C4"/>
    <w:rsid w:val="00E40298"/>
    <w:rsid w:val="00E42627"/>
    <w:rsid w:val="00E56CBD"/>
    <w:rsid w:val="00E65A61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D004C"/>
    <w:rsid w:val="00EE4911"/>
    <w:rsid w:val="00EE5D58"/>
    <w:rsid w:val="00F123BE"/>
    <w:rsid w:val="00F175ED"/>
    <w:rsid w:val="00F66208"/>
    <w:rsid w:val="00F72F3F"/>
    <w:rsid w:val="00F74C78"/>
    <w:rsid w:val="00F8182C"/>
    <w:rsid w:val="00F86351"/>
    <w:rsid w:val="00FC5A36"/>
    <w:rsid w:val="00FD0899"/>
    <w:rsid w:val="00FD62A3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1E81A5-14D1-4075-8156-B59A9D8A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51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Количество обращений </a:t>
            </a:r>
            <a:r>
              <a:rPr lang="ru-RU" sz="1351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граждан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поступивших в ЦА ФНС России </a:t>
            </a:r>
            <a:b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</a:b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в </a:t>
            </a:r>
            <a:r>
              <a:rPr lang="en-US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I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полугодии </a:t>
            </a:r>
            <a:r>
              <a:rPr lang="ru-RU" sz="1351" b="1" i="0" u="none" strike="noStrike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2019 года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 тематике вопроса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818741572472574E-2"/>
          <c:y val="0.11804863704076303"/>
          <c:w val="0.65384676372511685"/>
          <c:h val="0.86617903228926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Нарушение налогового законодательства физическими и юридическими лицамии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0A4-477E-8505-58AF1E04D5F3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0A4-477E-8505-58AF1E04D5F3}"/>
              </c:ext>
            </c:extLst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0A4-477E-8505-58AF1E04D5F3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0A4-477E-8505-58AF1E04D5F3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90A4-477E-8505-58AF1E04D5F3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90A4-477E-8505-58AF1E04D5F3}"/>
              </c:ext>
            </c:extLst>
          </c:dPt>
          <c:dPt>
            <c:idx val="6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90A4-477E-8505-58AF1E04D5F3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90A4-477E-8505-58AF1E04D5F3}"/>
              </c:ext>
            </c:extLst>
          </c:dPt>
          <c:dPt>
            <c:idx val="8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90A4-477E-8505-58AF1E04D5F3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90A4-477E-8505-58AF1E04D5F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22% 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A4-477E-8505-58AF1E04D5F3}"/>
                </c:ext>
              </c:extLst>
            </c:dLbl>
            <c:dLbl>
              <c:idx val="1"/>
              <c:layout>
                <c:manualLayout>
                  <c:x val="1.321353065539087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A4-477E-8505-58AF1E04D5F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0A4-477E-8505-58AF1E04D5F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0A4-477E-8505-58AF1E04D5F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0A4-477E-8505-58AF1E04D5F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0A4-477E-8505-58AF1E04D5F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0A4-477E-8505-58AF1E04D5F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0A4-477E-8505-58AF1E04D5F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0A4-477E-8505-58AF1E04D5F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0A4-477E-8505-58AF1E04D5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36000" rIns="38100" bIns="19050" anchor="t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22</c:v>
                </c:pt>
                <c:pt idx="1">
                  <c:v>17</c:v>
                </c:pt>
                <c:pt idx="2">
                  <c:v>16</c:v>
                </c:pt>
                <c:pt idx="3">
                  <c:v>9</c:v>
                </c:pt>
                <c:pt idx="4">
                  <c:v>8</c:v>
                </c:pt>
                <c:pt idx="5">
                  <c:v>7</c:v>
                </c:pt>
                <c:pt idx="6">
                  <c:v>5</c:v>
                </c:pt>
                <c:pt idx="7">
                  <c:v>4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0A4-477E-8505-58AF1E04D5F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Возврат, зачета излишне уплаченных или излишне взысканных сумм налогов, сборов, пеней, штрафов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Sheet1!$C$2:$C$11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15-90A4-477E-8505-58AF1E04D5F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Задолженность по налогам и сборам и взносам в бюджеты государственных внебюджетных фондов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Sheet1!$D$2:$D$11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16-90A4-477E-8505-58AF1E04D5F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Государственная регистрация и учет налогоплательщиков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Sheet1!$E$2:$E$11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17-90A4-477E-8505-58AF1E04D5F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Администрирования имущественных налогов 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19050"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Sheet1!$F$2:$F$11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18-90A4-477E-8505-58AF1E04D5F3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Налогообложение доходов физических и юридических лиц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Sheet1!$G$2:$G$11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19-90A4-477E-8505-58AF1E04D5F3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Обжалование решений налоговых органов и должностных лиц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Sheet1!$H$2:$H$11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1A-90A4-477E-8505-58AF1E04D5F3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Оказание услуг в электронной форме. Пользование информационными ресурсами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Sheet1!$I$2:$I$11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1B-90A4-477E-8505-58AF1E04D5F3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Налогообложение малого бизнеса, специальных налоговых режимов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Sheet1!$J$2:$J$11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1C-90A4-477E-8505-58AF1E04D5F3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Организация работы с налогоплательщиками 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Sheet1!$K$2:$K$11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1D-90A4-477E-8505-58AF1E04D5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"/>
        <c:overlap val="97"/>
        <c:axId val="286740680"/>
        <c:axId val="286741856"/>
      </c:barChart>
      <c:catAx>
        <c:axId val="286740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741856"/>
        <c:crosses val="autoZero"/>
        <c:auto val="1"/>
        <c:lblAlgn val="ctr"/>
        <c:lblOffset val="100"/>
        <c:noMultiLvlLbl val="0"/>
      </c:catAx>
      <c:valAx>
        <c:axId val="28674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740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2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7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8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741368547219129"/>
          <c:y val="0.10895068583257558"/>
          <c:w val="0.28405001997636131"/>
          <c:h val="0.874601404554160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100" b="0" i="0" u="none" strike="noStrike" kern="1200" baseline="0">
              <a:solidFill>
                <a:schemeClr val="tx1"/>
              </a:solidFill>
              <a:effectLst>
                <a:outerShdw sx="104000" sy="104000" algn="ctr" rotWithShape="0">
                  <a:srgbClr val="000000">
                    <a:alpha val="0"/>
                  </a:srgbClr>
                </a:outerShdw>
              </a:effectLst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351" baseline="0"/>
              <a:t>Активность граждан в </a:t>
            </a:r>
            <a:r>
              <a:rPr lang="en-US" sz="1351" b="1" i="0" u="none" strike="noStrike" baseline="0">
                <a:effectLst/>
              </a:rPr>
              <a:t>I</a:t>
            </a:r>
            <a:r>
              <a:rPr lang="ru-RU" sz="1351" b="1" i="0" u="none" strike="noStrike" baseline="0">
                <a:effectLst/>
              </a:rPr>
              <a:t> полугодии 2019 года </a:t>
            </a:r>
            <a:r>
              <a:rPr lang="ru-RU" sz="1351" baseline="0"/>
              <a:t>в разрезе субъектов Российской Федерации </a:t>
            </a:r>
          </a:p>
        </c:rich>
      </c:tx>
      <c:layout>
        <c:manualLayout>
          <c:xMode val="edge"/>
          <c:yMode val="edge"/>
          <c:x val="0.13238006326204976"/>
          <c:y val="1.6728849792606214E-2"/>
        </c:manualLayout>
      </c:layout>
      <c:overlay val="0"/>
      <c:spPr>
        <a:noFill/>
        <a:ln w="25432">
          <a:noFill/>
        </a:ln>
      </c:spPr>
    </c:title>
    <c:autoTitleDeleted val="0"/>
    <c:view3D>
      <c:rotX val="4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955371495518083E-2"/>
          <c:y val="0.11638886307844941"/>
          <c:w val="0.78594204204644769"/>
          <c:h val="0.7533268990405510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CCFF"/>
            </a:solidFill>
            <a:ln w="12716">
              <a:solidFill>
                <a:srgbClr val="000000"/>
              </a:solidFill>
              <a:prstDash val="solid"/>
            </a:ln>
          </c:spPr>
          <c:explosion val="2"/>
          <c:dPt>
            <c:idx val="0"/>
            <c:bubble3D val="0"/>
            <c:spPr>
              <a:solidFill>
                <a:srgbClr val="99FF99"/>
              </a:solidFill>
              <a:ln w="127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735-4755-8C63-D5BF6258E095}"/>
              </c:ext>
            </c:extLst>
          </c:dPt>
          <c:dPt>
            <c:idx val="1"/>
            <c:bubble3D val="0"/>
            <c:spPr>
              <a:solidFill>
                <a:srgbClr val="66FFCC"/>
              </a:solidFill>
              <a:ln w="12716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2700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735-4755-8C63-D5BF6258E095}"/>
              </c:ext>
            </c:extLst>
          </c:dPt>
          <c:dPt>
            <c:idx val="2"/>
            <c:bubble3D val="0"/>
            <c:spPr>
              <a:solidFill>
                <a:srgbClr val="19BDA2"/>
              </a:solidFill>
              <a:ln w="127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6735-4755-8C63-D5BF6258E095}"/>
              </c:ext>
            </c:extLst>
          </c:dPt>
          <c:dPt>
            <c:idx val="3"/>
            <c:bubble3D val="0"/>
            <c:spPr>
              <a:solidFill>
                <a:srgbClr val="1FA163"/>
              </a:solidFill>
              <a:ln w="127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6735-4755-8C63-D5BF6258E095}"/>
              </c:ext>
            </c:extLst>
          </c:dPt>
          <c:dPt>
            <c:idx val="4"/>
            <c:bubble3D val="0"/>
            <c:spPr>
              <a:solidFill>
                <a:srgbClr val="5BB616"/>
              </a:solidFill>
              <a:ln w="127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6735-4755-8C63-D5BF6258E095}"/>
              </c:ext>
            </c:extLst>
          </c:dPt>
          <c:dPt>
            <c:idx val="5"/>
            <c:bubble3D val="0"/>
            <c:spPr>
              <a:solidFill>
                <a:srgbClr val="99CC00"/>
              </a:solidFill>
              <a:ln w="127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6735-4755-8C63-D5BF6258E095}"/>
              </c:ext>
            </c:extLst>
          </c:dPt>
          <c:dPt>
            <c:idx val="6"/>
            <c:bubble3D val="0"/>
            <c:spPr>
              <a:solidFill>
                <a:srgbClr val="009900"/>
              </a:solidFill>
              <a:ln w="127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6735-4755-8C63-D5BF6258E095}"/>
              </c:ext>
            </c:extLst>
          </c:dPt>
          <c:dPt>
            <c:idx val="7"/>
            <c:bubble3D val="0"/>
            <c:spPr>
              <a:solidFill>
                <a:srgbClr val="00CC66"/>
              </a:solidFill>
              <a:ln w="127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6735-4755-8C63-D5BF6258E095}"/>
              </c:ext>
            </c:extLst>
          </c:dPt>
          <c:dPt>
            <c:idx val="8"/>
            <c:bubble3D val="0"/>
            <c:spPr>
              <a:solidFill>
                <a:srgbClr val="408280"/>
              </a:solidFill>
              <a:ln w="127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6735-4755-8C63-D5BF6258E095}"/>
              </c:ext>
            </c:extLst>
          </c:dPt>
          <c:dPt>
            <c:idx val="9"/>
            <c:bubble3D val="0"/>
            <c:spPr>
              <a:solidFill>
                <a:srgbClr val="4CB4A3"/>
              </a:solidFill>
              <a:ln w="1271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6735-4755-8C63-D5BF6258E095}"/>
              </c:ext>
            </c:extLst>
          </c:dPt>
          <c:dPt>
            <c:idx val="10"/>
            <c:bubble3D val="0"/>
            <c:spPr>
              <a:solidFill>
                <a:srgbClr val="CCFF99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6735-4755-8C63-D5BF6258E095}"/>
              </c:ext>
            </c:extLst>
          </c:dPt>
          <c:dLbls>
            <c:dLbl>
              <c:idx val="0"/>
              <c:layout>
                <c:manualLayout>
                  <c:x val="3.2375015475451116E-2"/>
                  <c:y val="-2.0909362377606992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274EB81A-945C-452F-A9E6-D98F1CFDC328}" type="CATEGORYNAME">
                      <a:rPr lang="ru-RU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[ИМЯ КАТЕГОРИИ]</a:t>
                    </a:fld>
                    <a:r>
                      <a:rPr lang="ru-RU" baseline="0"/>
                      <a:t>
26%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735-4755-8C63-D5BF6258E095}"/>
                </c:ext>
              </c:extLst>
            </c:dLbl>
            <c:dLbl>
              <c:idx val="1"/>
              <c:layout>
                <c:manualLayout>
                  <c:x val="5.6384827062973167E-2"/>
                  <c:y val="-4.8939840361599263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06094C70-2AA5-4B5C-8EBD-ECAF51A49224}" type="CATEGORYNAME">
                      <a:rPr lang="ru-RU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[ИМЯ КАТЕГОРИИ]</a:t>
                    </a:fld>
                    <a:r>
                      <a:rPr lang="ru-RU" baseline="0"/>
                      <a:t>
8%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735-4755-8C63-D5BF6258E095}"/>
                </c:ext>
              </c:extLst>
            </c:dLbl>
            <c:dLbl>
              <c:idx val="2"/>
              <c:layout>
                <c:manualLayout>
                  <c:x val="0.22668001358094811"/>
                  <c:y val="-8.7491944645099795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56EA325D-DA28-4142-B0B9-8D743A7F0768}" type="CATEGORYNAME">
                      <a:rPr lang="ru-RU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[ИМЯ КАТЕГОРИИ]</a:t>
                    </a:fld>
                    <a:r>
                      <a:rPr lang="ru-RU" baseline="0"/>
                      <a:t>
5%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121060800323909"/>
                      <c:h val="5.423153692614770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735-4755-8C63-D5BF6258E095}"/>
                </c:ext>
              </c:extLst>
            </c:dLbl>
            <c:dLbl>
              <c:idx val="3"/>
              <c:layout>
                <c:manualLayout>
                  <c:x val="0.20760805551422123"/>
                  <c:y val="-6.1145014372251949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0DBBA001-811A-4546-9D57-1B8A3AC6B642}" type="CATEGORYNAME">
                      <a:rPr lang="ru-RU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[ИМЯ КАТЕГОРИИ]</a:t>
                    </a:fld>
                    <a:r>
                      <a:rPr lang="ru-RU" baseline="0"/>
                      <a:t>
3%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735-4755-8C63-D5BF6258E095}"/>
                </c:ext>
              </c:extLst>
            </c:dLbl>
            <c:dLbl>
              <c:idx val="4"/>
              <c:layout>
                <c:manualLayout>
                  <c:x val="0.23222834436086748"/>
                  <c:y val="-1.1564342428266127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 baseline="0"/>
                      <a:t>Ставропольский край
</a:t>
                    </a:r>
                    <a:fld id="{E05D8BCA-1765-4EA1-80DA-683ACFBD2D19}" type="PERCENTAGE">
                      <a:rPr lang="en-US" baseline="0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6735-4755-8C63-D5BF6258E095}"/>
                </c:ext>
              </c:extLst>
            </c:dLbl>
            <c:dLbl>
              <c:idx val="5"/>
              <c:layout>
                <c:manualLayout>
                  <c:x val="8.093904501623217E-2"/>
                  <c:y val="3.8792041459225664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Нижегородская область</a:t>
                    </a:r>
                    <a:r>
                      <a:rPr lang="ru-RU" baseline="0"/>
                      <a:t>
</a:t>
                    </a:r>
                    <a:fld id="{CAEB5F55-68EA-4FCC-9F6A-D32DF2CB5108}" type="PERCENTAGE">
                      <a:rPr lang="en-US" baseline="0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772646964511388"/>
                      <c:h val="5.80381201873937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6735-4755-8C63-D5BF6258E095}"/>
                </c:ext>
              </c:extLst>
            </c:dLbl>
            <c:dLbl>
              <c:idx val="6"/>
              <c:layout>
                <c:manualLayout>
                  <c:x val="-6.1567069554155127E-2"/>
                  <c:y val="3.426081066094374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Ростовская область</a:t>
                    </a:r>
                    <a:r>
                      <a:rPr lang="ru-RU" baseline="0"/>
                      <a:t>
</a:t>
                    </a:r>
                    <a:fld id="{F2F936AF-B70E-4B17-9A57-9CDF6DE8B930}" type="PERCENTAGE">
                      <a:rPr lang="en-US" baseline="0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6735-4755-8C63-D5BF6258E095}"/>
                </c:ext>
              </c:extLst>
            </c:dLbl>
            <c:dLbl>
              <c:idx val="7"/>
              <c:layout>
                <c:manualLayout>
                  <c:x val="-0.23454622237964198"/>
                  <c:y val="2.8396212559459618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Самарская область</a:t>
                    </a:r>
                  </a:p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911459697674775"/>
                      <c:h val="5.423153692614770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6735-4755-8C63-D5BF6258E095}"/>
                </c:ext>
              </c:extLst>
            </c:dLbl>
            <c:dLbl>
              <c:idx val="8"/>
              <c:layout>
                <c:manualLayout>
                  <c:x val="-0.18838430729829253"/>
                  <c:y val="-2.6632277170150216E-2"/>
                </c:manualLayout>
              </c:layout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735-4755-8C63-D5BF6258E095}"/>
                </c:ext>
              </c:extLst>
            </c:dLbl>
            <c:dLbl>
              <c:idx val="9"/>
              <c:layout>
                <c:manualLayout>
                  <c:x val="-0.18374792251314606"/>
                  <c:y val="-8.4311915331101314E-2"/>
                </c:manualLayout>
              </c:layout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735-4755-8C63-D5BF6258E095}"/>
                </c:ext>
              </c:extLst>
            </c:dLbl>
            <c:dLbl>
              <c:idx val="10"/>
              <c:layout>
                <c:manualLayout>
                  <c:x val="5.9126480962570657E-2"/>
                  <c:y val="-0.176246819071483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 52%</a:t>
                    </a:r>
                    <a:r>
                      <a:rPr lang="ru-RU" baseline="0"/>
                      <a:t>
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735-4755-8C63-D5BF6258E095}"/>
                </c:ext>
              </c:extLst>
            </c:dLbl>
            <c:spPr>
              <a:solidFill>
                <a:srgbClr val="E7E6E6">
                  <a:lumMod val="75000"/>
                </a:srgbClr>
              </a:solidFill>
              <a:ln w="2543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Sheet1!$B$1:$L$1</c:f>
              <c:strCache>
                <c:ptCount val="11"/>
                <c:pt idx="0">
                  <c:v>Москва</c:v>
                </c:pt>
                <c:pt idx="1">
                  <c:v>Московская область</c:v>
                </c:pt>
                <c:pt idx="2">
                  <c:v>Санкт-Петербург</c:v>
                </c:pt>
                <c:pt idx="3">
                  <c:v>Краснодарский край</c:v>
                </c:pt>
                <c:pt idx="4">
                  <c:v>Ставропольский край</c:v>
                </c:pt>
                <c:pt idx="5">
                  <c:v>Нижегородская область</c:v>
                </c:pt>
                <c:pt idx="6">
                  <c:v>Ростовская область</c:v>
                </c:pt>
                <c:pt idx="7">
                  <c:v>Самарская область</c:v>
                </c:pt>
                <c:pt idx="8">
                  <c:v>Республика Татарстан</c:v>
                </c:pt>
                <c:pt idx="9">
                  <c:v>Свердловская область</c:v>
                </c:pt>
                <c:pt idx="10">
                  <c:v>Другие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28</c:v>
                </c:pt>
                <c:pt idx="1">
                  <c:v>9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6735-4755-8C63-D5BF6258E0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401" baseline="0"/>
              <a:t>Количество жалоб, поступивших в ЦА ФНС  России, к общему количеству обращений за</a:t>
            </a:r>
            <a:r>
              <a:rPr lang="ru-RU" sz="1401" b="1" i="0" u="none" strike="noStrike" baseline="0">
                <a:effectLst/>
              </a:rPr>
              <a:t> </a:t>
            </a:r>
            <a:r>
              <a:rPr lang="en-US" sz="1401" b="1" i="0" u="none" strike="noStrike" baseline="0">
                <a:effectLst/>
              </a:rPr>
              <a:t>I</a:t>
            </a:r>
            <a:r>
              <a:rPr lang="ru-RU" sz="1401" b="1" i="0" u="none" strike="noStrike" baseline="0">
                <a:effectLst/>
              </a:rPr>
              <a:t> полугодие 201</a:t>
            </a:r>
            <a:r>
              <a:rPr lang="en-US" sz="1401" b="1" i="0" u="none" strike="noStrike" baseline="0">
                <a:effectLst/>
              </a:rPr>
              <a:t>9</a:t>
            </a:r>
            <a:r>
              <a:rPr lang="ru-RU" sz="1401" b="1" i="0" u="none" strike="noStrike" baseline="0">
                <a:effectLst/>
              </a:rPr>
              <a:t> года</a:t>
            </a:r>
            <a:endParaRPr lang="ru-RU" sz="1401" baseline="0"/>
          </a:p>
        </c:rich>
      </c:tx>
      <c:layout>
        <c:manualLayout>
          <c:xMode val="edge"/>
          <c:yMode val="edge"/>
          <c:x val="0.13372972685066001"/>
          <c:y val="2.0833445307391184E-2"/>
        </c:manualLayout>
      </c:layout>
      <c:overlay val="0"/>
      <c:spPr>
        <a:noFill/>
        <a:ln w="25427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947902345540141E-2"/>
          <c:y val="3.3911829243965692E-2"/>
          <c:w val="0.8671074449027204"/>
          <c:h val="0.9643796993957441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70AD47">
                <a:lumMod val="50000"/>
              </a:srgbClr>
            </a:solidFill>
            <a:ln w="3177">
              <a:solidFill>
                <a:sysClr val="windowText" lastClr="000000"/>
              </a:solidFill>
              <a:prstDash val="solid"/>
            </a:ln>
          </c:spPr>
          <c:explosion val="72"/>
          <c:dPt>
            <c:idx val="0"/>
            <c:bubble3D val="0"/>
            <c:explosion val="70"/>
            <c:extLst>
              <c:ext xmlns:c16="http://schemas.microsoft.com/office/drawing/2014/chart" uri="{C3380CC4-5D6E-409C-BE32-E72D297353CC}">
                <c16:uniqueId val="{00000000-D8DD-487D-AC7A-0C3002D89FFF}"/>
              </c:ext>
            </c:extLst>
          </c:dPt>
          <c:dPt>
            <c:idx val="1"/>
            <c:bubble3D val="0"/>
            <c:explosion val="0"/>
            <c:spPr>
              <a:solidFill>
                <a:srgbClr val="70AD47">
                  <a:lumMod val="60000"/>
                  <a:lumOff val="40000"/>
                </a:srgbClr>
              </a:solidFill>
              <a:ln w="3177">
                <a:solidFill>
                  <a:sysClr val="windowText" lastClr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2700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8DD-487D-AC7A-0C3002D89FFF}"/>
              </c:ext>
            </c:extLst>
          </c:dPt>
          <c:dLbls>
            <c:dLbl>
              <c:idx val="0"/>
              <c:layout>
                <c:manualLayout>
                  <c:x val="5.4824724884969957E-2"/>
                  <c:y val="1.4598917924738511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Жалобы</a:t>
                    </a:r>
                    <a:r>
                      <a:rPr lang="ru-RU" baseline="0"/>
                      <a:t>
5%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DD-487D-AC7A-0C3002D89FFF}"/>
                </c:ext>
              </c:extLst>
            </c:dLbl>
            <c:dLbl>
              <c:idx val="1"/>
              <c:layout>
                <c:manualLayout>
                  <c:x val="-0.1805588884722743"/>
                  <c:y val="-5.5232144455910695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Обращения</a:t>
                    </a:r>
                    <a:r>
                      <a:rPr lang="ru-RU" baseline="0"/>
                      <a:t>
95%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DD-487D-AC7A-0C3002D89FFF}"/>
                </c:ext>
              </c:extLst>
            </c:dLbl>
            <c:numFmt formatCode="0%" sourceLinked="0"/>
            <c:spPr>
              <a:solidFill>
                <a:srgbClr val="E7E6E6">
                  <a:lumMod val="75000"/>
                </a:srgbClr>
              </a:solidFill>
              <a:ln w="254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Sheet1!$B$1:$C$1</c:f>
              <c:strCache>
                <c:ptCount val="2"/>
                <c:pt idx="0">
                  <c:v>Жалобы</c:v>
                </c:pt>
                <c:pt idx="1">
                  <c:v>Обращения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</c:v>
                </c:pt>
                <c:pt idx="1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DD-487D-AC7A-0C3002D89F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9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E603-9BB8-4D27-951D-204BBA7A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Муромская Ольга Вячеславовна</dc:creator>
  <cp:keywords/>
  <dc:description/>
  <cp:lastModifiedBy>Киселев Владимир Константинович</cp:lastModifiedBy>
  <cp:revision>2</cp:revision>
  <cp:lastPrinted>2018-04-24T14:08:00Z</cp:lastPrinted>
  <dcterms:created xsi:type="dcterms:W3CDTF">2019-07-17T06:48:00Z</dcterms:created>
  <dcterms:modified xsi:type="dcterms:W3CDTF">2019-07-17T06:48:00Z</dcterms:modified>
</cp:coreProperties>
</file>