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BF" w:rsidRDefault="00815EE4" w:rsidP="00A31DBF">
      <w:pPr>
        <w:autoSpaceDE w:val="0"/>
        <w:autoSpaceDN w:val="0"/>
        <w:adjustRightInd w:val="0"/>
        <w:ind w:firstLine="707"/>
        <w:jc w:val="both"/>
        <w:rPr>
          <w:sz w:val="28"/>
          <w:szCs w:val="28"/>
        </w:rPr>
      </w:pPr>
      <w:r w:rsidRPr="00BE3CB6">
        <w:rPr>
          <w:sz w:val="28"/>
          <w:szCs w:val="28"/>
        </w:rPr>
        <w:t>Федеральн</w:t>
      </w:r>
      <w:r w:rsidR="00A31DBF">
        <w:rPr>
          <w:sz w:val="28"/>
          <w:szCs w:val="28"/>
        </w:rPr>
        <w:t>ой</w:t>
      </w:r>
      <w:r w:rsidRPr="00BE3CB6">
        <w:rPr>
          <w:sz w:val="28"/>
          <w:szCs w:val="28"/>
        </w:rPr>
        <w:t xml:space="preserve"> налогов</w:t>
      </w:r>
      <w:r w:rsidR="00A31DBF">
        <w:rPr>
          <w:sz w:val="28"/>
          <w:szCs w:val="28"/>
        </w:rPr>
        <w:t>ой</w:t>
      </w:r>
      <w:r w:rsidRPr="00BE3CB6">
        <w:rPr>
          <w:sz w:val="28"/>
          <w:szCs w:val="28"/>
        </w:rPr>
        <w:t xml:space="preserve"> служб</w:t>
      </w:r>
      <w:r w:rsidR="00A31DBF">
        <w:rPr>
          <w:sz w:val="28"/>
          <w:szCs w:val="28"/>
        </w:rPr>
        <w:t>ой получено</w:t>
      </w:r>
      <w:r w:rsidRPr="00BE3CB6">
        <w:rPr>
          <w:sz w:val="28"/>
          <w:szCs w:val="28"/>
        </w:rPr>
        <w:t xml:space="preserve"> </w:t>
      </w:r>
      <w:r w:rsidR="005E45AE">
        <w:rPr>
          <w:sz w:val="28"/>
          <w:szCs w:val="28"/>
        </w:rPr>
        <w:t>Интернет-обращение</w:t>
      </w:r>
      <w:r w:rsidR="0053364D">
        <w:rPr>
          <w:sz w:val="28"/>
          <w:szCs w:val="28"/>
        </w:rPr>
        <w:t xml:space="preserve"> </w:t>
      </w:r>
      <w:r w:rsidR="00CF11EF">
        <w:rPr>
          <w:sz w:val="28"/>
          <w:szCs w:val="28"/>
        </w:rPr>
        <w:t>«ЮЛ</w:t>
      </w:r>
      <w:r w:rsidR="00BF4654">
        <w:rPr>
          <w:sz w:val="28"/>
          <w:szCs w:val="28"/>
        </w:rPr>
        <w:t>»</w:t>
      </w:r>
      <w:r w:rsidR="0053364D">
        <w:rPr>
          <w:sz w:val="28"/>
          <w:szCs w:val="28"/>
        </w:rPr>
        <w:br/>
      </w:r>
      <w:r w:rsidR="005E45AE">
        <w:rPr>
          <w:sz w:val="28"/>
          <w:szCs w:val="28"/>
        </w:rPr>
        <w:t>от</w:t>
      </w:r>
      <w:r w:rsidR="0053364D">
        <w:rPr>
          <w:sz w:val="28"/>
          <w:szCs w:val="28"/>
        </w:rPr>
        <w:t xml:space="preserve"> </w:t>
      </w:r>
      <w:r w:rsidR="00BF4654">
        <w:rPr>
          <w:sz w:val="28"/>
          <w:szCs w:val="28"/>
        </w:rPr>
        <w:t>20</w:t>
      </w:r>
      <w:r w:rsidR="00A36600">
        <w:rPr>
          <w:sz w:val="28"/>
          <w:szCs w:val="28"/>
        </w:rPr>
        <w:t xml:space="preserve"> июля 2015 г.</w:t>
      </w:r>
      <w:r w:rsidR="00A31DBF">
        <w:rPr>
          <w:sz w:val="28"/>
          <w:szCs w:val="28"/>
        </w:rPr>
        <w:t xml:space="preserve"> </w:t>
      </w:r>
      <w:r w:rsidR="005E45AE">
        <w:rPr>
          <w:sz w:val="28"/>
          <w:szCs w:val="28"/>
        </w:rPr>
        <w:t xml:space="preserve">с просьбой </w:t>
      </w:r>
      <w:r w:rsidR="00A31DBF">
        <w:rPr>
          <w:sz w:val="28"/>
          <w:szCs w:val="28"/>
        </w:rPr>
        <w:t xml:space="preserve">дать разъяснение по вопросам, касающимся  принятия регистрирующим органом решения об отказе в государственной регистрации </w:t>
      </w:r>
      <w:r w:rsidR="00BF4654">
        <w:rPr>
          <w:sz w:val="28"/>
          <w:szCs w:val="28"/>
        </w:rPr>
        <w:t>физического лица в качестве индивидуального предпринимателя</w:t>
      </w:r>
      <w:r w:rsidR="00A31DBF">
        <w:rPr>
          <w:sz w:val="28"/>
          <w:szCs w:val="28"/>
        </w:rPr>
        <w:t>.</w:t>
      </w:r>
    </w:p>
    <w:p w:rsidR="00A071DD" w:rsidRDefault="00A31DBF" w:rsidP="00A31DBF">
      <w:pPr>
        <w:autoSpaceDE w:val="0"/>
        <w:autoSpaceDN w:val="0"/>
        <w:adjustRightInd w:val="0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="00A071DD">
        <w:rPr>
          <w:sz w:val="28"/>
          <w:szCs w:val="28"/>
        </w:rPr>
        <w:t xml:space="preserve">данное </w:t>
      </w:r>
      <w:r>
        <w:rPr>
          <w:sz w:val="28"/>
          <w:szCs w:val="28"/>
        </w:rPr>
        <w:t>обращение</w:t>
      </w:r>
      <w:r w:rsidR="00A071DD">
        <w:rPr>
          <w:sz w:val="28"/>
          <w:szCs w:val="28"/>
        </w:rPr>
        <w:t xml:space="preserve"> обусловлено</w:t>
      </w:r>
      <w:r>
        <w:rPr>
          <w:sz w:val="28"/>
          <w:szCs w:val="28"/>
        </w:rPr>
        <w:t xml:space="preserve"> принятием </w:t>
      </w:r>
      <w:r w:rsidR="005E45AE">
        <w:rPr>
          <w:sz w:val="28"/>
          <w:szCs w:val="28"/>
        </w:rPr>
        <w:t xml:space="preserve">Межрайонной инспекцией Федеральной налоговой службы </w:t>
      </w:r>
      <w:r w:rsidR="00A36600">
        <w:rPr>
          <w:sz w:val="28"/>
          <w:szCs w:val="28"/>
        </w:rPr>
        <w:t xml:space="preserve">10 июня 2015 г. </w:t>
      </w:r>
      <w:r w:rsidR="005E45AE">
        <w:rPr>
          <w:sz w:val="28"/>
          <w:szCs w:val="28"/>
        </w:rPr>
        <w:t xml:space="preserve">решения </w:t>
      </w:r>
      <w:r w:rsidR="0053364D">
        <w:rPr>
          <w:sz w:val="28"/>
          <w:szCs w:val="28"/>
        </w:rPr>
        <w:t>об отказе в</w:t>
      </w:r>
      <w:r w:rsidR="00A36600">
        <w:rPr>
          <w:sz w:val="28"/>
          <w:szCs w:val="28"/>
        </w:rPr>
        <w:t xml:space="preserve"> государственной регистрации </w:t>
      </w:r>
      <w:r w:rsidR="00A071DD">
        <w:rPr>
          <w:sz w:val="28"/>
          <w:szCs w:val="28"/>
        </w:rPr>
        <w:t>№</w:t>
      </w:r>
      <w:bookmarkStart w:id="0" w:name="_GoBack"/>
      <w:bookmarkEnd w:id="0"/>
      <w:r w:rsidR="00BE3CB6" w:rsidRPr="00BE3CB6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Федеральная налоговая служба </w:t>
      </w:r>
      <w:r w:rsidR="00BE3CB6" w:rsidRPr="00BE3CB6">
        <w:rPr>
          <w:sz w:val="28"/>
          <w:szCs w:val="28"/>
        </w:rPr>
        <w:t>сообщает</w:t>
      </w:r>
      <w:r w:rsidR="00A071DD">
        <w:rPr>
          <w:sz w:val="28"/>
          <w:szCs w:val="28"/>
        </w:rPr>
        <w:t xml:space="preserve"> следующее.</w:t>
      </w:r>
    </w:p>
    <w:p w:rsidR="008C572B" w:rsidRPr="00BE3CB6" w:rsidRDefault="00A071DD" w:rsidP="00A31DBF">
      <w:pPr>
        <w:autoSpaceDE w:val="0"/>
        <w:autoSpaceDN w:val="0"/>
        <w:adjustRightInd w:val="0"/>
        <w:ind w:firstLine="707"/>
        <w:jc w:val="both"/>
        <w:rPr>
          <w:rFonts w:eastAsia="Calibri"/>
          <w:snapToGrid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A31DBF">
        <w:rPr>
          <w:rFonts w:eastAsia="Calibri"/>
          <w:snapToGrid/>
          <w:color w:val="000000"/>
          <w:sz w:val="28"/>
          <w:szCs w:val="28"/>
          <w:lang w:eastAsia="en-US"/>
        </w:rPr>
        <w:t>ценка</w:t>
      </w:r>
      <w:r>
        <w:rPr>
          <w:rFonts w:eastAsia="Calibri"/>
          <w:snapToGrid/>
          <w:color w:val="000000"/>
          <w:sz w:val="28"/>
          <w:szCs w:val="28"/>
          <w:lang w:eastAsia="en-US"/>
        </w:rPr>
        <w:t xml:space="preserve"> </w:t>
      </w:r>
      <w:r w:rsidR="00A31DBF">
        <w:rPr>
          <w:rFonts w:eastAsia="Calibri"/>
          <w:snapToGrid/>
          <w:color w:val="000000"/>
          <w:sz w:val="28"/>
          <w:szCs w:val="28"/>
          <w:lang w:eastAsia="en-US"/>
        </w:rPr>
        <w:t xml:space="preserve">правомерности принятия регистрирующим органом решения об отказе в государственной регистрации </w:t>
      </w:r>
      <w:r w:rsidR="00033C66">
        <w:rPr>
          <w:rFonts w:eastAsia="Calibri"/>
          <w:snapToGrid/>
          <w:color w:val="000000"/>
          <w:sz w:val="28"/>
          <w:szCs w:val="28"/>
          <w:lang w:eastAsia="en-US"/>
        </w:rPr>
        <w:t>индивидуального предпринимателя</w:t>
      </w:r>
      <w:r w:rsidR="00A31DBF">
        <w:rPr>
          <w:rFonts w:eastAsia="Calibri"/>
          <w:snapToGrid/>
          <w:color w:val="000000"/>
          <w:sz w:val="28"/>
          <w:szCs w:val="28"/>
          <w:lang w:eastAsia="en-US"/>
        </w:rPr>
        <w:t xml:space="preserve"> </w:t>
      </w:r>
      <w:r w:rsidR="00616AF1">
        <w:rPr>
          <w:rFonts w:eastAsia="Calibri"/>
          <w:snapToGrid/>
          <w:color w:val="000000"/>
          <w:sz w:val="28"/>
          <w:szCs w:val="28"/>
          <w:lang w:eastAsia="en-US"/>
        </w:rPr>
        <w:t xml:space="preserve">может быть </w:t>
      </w:r>
      <w:r>
        <w:rPr>
          <w:rFonts w:eastAsia="Calibri"/>
          <w:snapToGrid/>
          <w:color w:val="000000"/>
          <w:sz w:val="28"/>
          <w:szCs w:val="28"/>
          <w:lang w:eastAsia="en-US"/>
        </w:rPr>
        <w:t xml:space="preserve">дана </w:t>
      </w:r>
      <w:r w:rsidR="00A31DBF">
        <w:rPr>
          <w:rFonts w:eastAsia="Calibri"/>
          <w:snapToGrid/>
          <w:color w:val="000000"/>
          <w:sz w:val="28"/>
          <w:szCs w:val="28"/>
          <w:lang w:eastAsia="en-US"/>
        </w:rPr>
        <w:t xml:space="preserve">Федеральной налоговой службой </w:t>
      </w:r>
      <w:r>
        <w:rPr>
          <w:rFonts w:eastAsia="Calibri"/>
          <w:snapToGrid/>
          <w:color w:val="000000"/>
          <w:sz w:val="28"/>
          <w:szCs w:val="28"/>
          <w:lang w:eastAsia="en-US"/>
        </w:rPr>
        <w:t>в</w:t>
      </w:r>
      <w:r w:rsidR="00616AF1">
        <w:rPr>
          <w:rFonts w:eastAsia="Calibri"/>
          <w:snapToGrid/>
          <w:color w:val="000000"/>
          <w:sz w:val="28"/>
          <w:szCs w:val="28"/>
          <w:lang w:eastAsia="en-US"/>
        </w:rPr>
        <w:t xml:space="preserve"> результат</w:t>
      </w:r>
      <w:r>
        <w:rPr>
          <w:rFonts w:eastAsia="Calibri"/>
          <w:snapToGrid/>
          <w:color w:val="000000"/>
          <w:sz w:val="28"/>
          <w:szCs w:val="28"/>
          <w:lang w:eastAsia="en-US"/>
        </w:rPr>
        <w:t>е</w:t>
      </w:r>
      <w:r w:rsidR="00616AF1">
        <w:rPr>
          <w:rFonts w:eastAsia="Calibri"/>
          <w:snapToGrid/>
          <w:color w:val="000000"/>
          <w:sz w:val="28"/>
          <w:szCs w:val="28"/>
          <w:lang w:eastAsia="en-US"/>
        </w:rPr>
        <w:t xml:space="preserve"> рассмотрения жалобы заинтересованного лица</w:t>
      </w:r>
      <w:r w:rsidR="00554401" w:rsidRPr="00554401">
        <w:rPr>
          <w:rFonts w:eastAsia="Calibri"/>
          <w:snapToGrid/>
          <w:color w:val="000000"/>
          <w:sz w:val="28"/>
          <w:szCs w:val="28"/>
          <w:lang w:eastAsia="en-US"/>
        </w:rPr>
        <w:t xml:space="preserve"> </w:t>
      </w:r>
      <w:r w:rsidR="00554401">
        <w:rPr>
          <w:rFonts w:eastAsia="Calibri"/>
          <w:snapToGrid/>
          <w:color w:val="000000"/>
          <w:sz w:val="28"/>
          <w:szCs w:val="28"/>
          <w:lang w:eastAsia="en-US"/>
        </w:rPr>
        <w:t>на решение регистрирующего органа о</w:t>
      </w:r>
      <w:r w:rsidR="0053364D">
        <w:rPr>
          <w:rFonts w:eastAsia="Calibri"/>
          <w:snapToGrid/>
          <w:color w:val="000000"/>
          <w:sz w:val="28"/>
          <w:szCs w:val="28"/>
          <w:lang w:eastAsia="en-US"/>
        </w:rPr>
        <w:t>б отказе в</w:t>
      </w:r>
      <w:r w:rsidR="00554401">
        <w:rPr>
          <w:rFonts w:eastAsia="Calibri"/>
          <w:snapToGrid/>
          <w:color w:val="000000"/>
          <w:sz w:val="28"/>
          <w:szCs w:val="28"/>
          <w:lang w:eastAsia="en-US"/>
        </w:rPr>
        <w:t xml:space="preserve"> государственной регистрации,</w:t>
      </w:r>
      <w:r w:rsidR="00616AF1">
        <w:rPr>
          <w:rFonts w:eastAsia="Calibri"/>
          <w:snapToGrid/>
          <w:color w:val="000000"/>
          <w:sz w:val="28"/>
          <w:szCs w:val="28"/>
          <w:lang w:eastAsia="en-US"/>
        </w:rPr>
        <w:t xml:space="preserve"> поданной</w:t>
      </w:r>
      <w:r w:rsidR="00616AF1" w:rsidRPr="00616AF1">
        <w:rPr>
          <w:rFonts w:eastAsia="Calibri"/>
          <w:snapToGrid/>
          <w:color w:val="000000"/>
          <w:sz w:val="28"/>
          <w:szCs w:val="28"/>
          <w:lang w:eastAsia="en-US"/>
        </w:rPr>
        <w:t xml:space="preserve"> </w:t>
      </w:r>
      <w:r w:rsidR="00616AF1" w:rsidRPr="00BE3CB6">
        <w:rPr>
          <w:rFonts w:eastAsia="Calibri"/>
          <w:snapToGrid/>
          <w:color w:val="000000"/>
          <w:sz w:val="28"/>
          <w:szCs w:val="28"/>
          <w:lang w:eastAsia="en-US"/>
        </w:rPr>
        <w:t>в установленном главой VIII.1 Федерально</w:t>
      </w:r>
      <w:r w:rsidR="00A36600">
        <w:rPr>
          <w:rFonts w:eastAsia="Calibri"/>
          <w:snapToGrid/>
          <w:color w:val="000000"/>
          <w:sz w:val="28"/>
          <w:szCs w:val="28"/>
          <w:lang w:eastAsia="en-US"/>
        </w:rPr>
        <w:t>го закона от 8 августа 2001 г.</w:t>
      </w:r>
      <w:r w:rsidR="00033C66">
        <w:rPr>
          <w:rFonts w:eastAsia="Calibri"/>
          <w:snapToGrid/>
          <w:color w:val="000000"/>
          <w:sz w:val="28"/>
          <w:szCs w:val="28"/>
          <w:lang w:eastAsia="en-US"/>
        </w:rPr>
        <w:t xml:space="preserve"> </w:t>
      </w:r>
      <w:r w:rsidR="00616AF1" w:rsidRPr="00BE3CB6">
        <w:rPr>
          <w:rFonts w:eastAsia="Calibri"/>
          <w:snapToGrid/>
          <w:color w:val="000000"/>
          <w:sz w:val="28"/>
          <w:szCs w:val="28"/>
          <w:lang w:eastAsia="en-US"/>
        </w:rPr>
        <w:t>№ 129-ФЗ «О государственной регистрации юридических лиц и индивидуальных предпринимателей»</w:t>
      </w:r>
      <w:r w:rsidR="00554401" w:rsidRPr="00554401">
        <w:rPr>
          <w:rFonts w:eastAsia="Calibri"/>
          <w:snapToGrid/>
          <w:color w:val="000000"/>
          <w:sz w:val="28"/>
          <w:szCs w:val="28"/>
          <w:lang w:eastAsia="en-US"/>
        </w:rPr>
        <w:t xml:space="preserve"> </w:t>
      </w:r>
      <w:r w:rsidR="00554401" w:rsidRPr="00BE3CB6">
        <w:rPr>
          <w:rFonts w:eastAsia="Calibri"/>
          <w:snapToGrid/>
          <w:color w:val="000000"/>
          <w:sz w:val="28"/>
          <w:szCs w:val="28"/>
          <w:lang w:eastAsia="en-US"/>
        </w:rPr>
        <w:t>порядке</w:t>
      </w:r>
      <w:r w:rsidR="00554401">
        <w:rPr>
          <w:rFonts w:eastAsia="Calibri"/>
          <w:snapToGrid/>
          <w:color w:val="000000"/>
          <w:sz w:val="28"/>
          <w:szCs w:val="28"/>
          <w:lang w:eastAsia="en-US"/>
        </w:rPr>
        <w:t>.</w:t>
      </w:r>
    </w:p>
    <w:p w:rsidR="00EF2125" w:rsidRDefault="00554401" w:rsidP="00A31DB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rFonts w:eastAsia="Calibri"/>
          <w:snapToGrid/>
          <w:color w:val="000000"/>
          <w:sz w:val="28"/>
          <w:szCs w:val="28"/>
          <w:lang w:eastAsia="en-US"/>
        </w:rPr>
        <w:t xml:space="preserve">Одновременно сообщается, что в соответствии с </w:t>
      </w:r>
      <w:r w:rsidR="008C572B" w:rsidRPr="00BE3CB6">
        <w:rPr>
          <w:rFonts w:eastAsia="Calibri"/>
          <w:snapToGrid/>
          <w:color w:val="000000"/>
          <w:sz w:val="28"/>
          <w:szCs w:val="28"/>
          <w:lang w:eastAsia="en-US"/>
        </w:rPr>
        <w:t>пункт</w:t>
      </w:r>
      <w:r>
        <w:rPr>
          <w:rFonts w:eastAsia="Calibri"/>
          <w:snapToGrid/>
          <w:color w:val="000000"/>
          <w:sz w:val="28"/>
          <w:szCs w:val="28"/>
          <w:lang w:eastAsia="en-US"/>
        </w:rPr>
        <w:t>ом</w:t>
      </w:r>
      <w:r w:rsidR="008C572B" w:rsidRPr="00BE3CB6">
        <w:rPr>
          <w:rFonts w:eastAsia="Calibri"/>
          <w:snapToGrid/>
          <w:color w:val="000000"/>
          <w:sz w:val="28"/>
          <w:szCs w:val="28"/>
          <w:lang w:eastAsia="en-US"/>
        </w:rPr>
        <w:t xml:space="preserve"> </w:t>
      </w:r>
      <w:r w:rsidR="0053364D">
        <w:rPr>
          <w:rFonts w:eastAsia="Calibri"/>
          <w:snapToGrid/>
          <w:color w:val="000000"/>
          <w:sz w:val="28"/>
          <w:szCs w:val="28"/>
          <w:lang w:eastAsia="en-US"/>
        </w:rPr>
        <w:t>1</w:t>
      </w:r>
      <w:r w:rsidR="008C572B" w:rsidRPr="00BE3CB6">
        <w:rPr>
          <w:rFonts w:eastAsia="Calibri"/>
          <w:snapToGrid/>
          <w:color w:val="000000"/>
          <w:sz w:val="28"/>
          <w:szCs w:val="28"/>
          <w:lang w:eastAsia="en-US"/>
        </w:rPr>
        <w:t xml:space="preserve"> статьи 25.</w:t>
      </w:r>
      <w:r w:rsidR="0053364D">
        <w:rPr>
          <w:rFonts w:eastAsia="Calibri"/>
          <w:snapToGrid/>
          <w:color w:val="000000"/>
          <w:sz w:val="28"/>
          <w:szCs w:val="28"/>
          <w:lang w:eastAsia="en-US"/>
        </w:rPr>
        <w:t>2</w:t>
      </w:r>
      <w:r w:rsidR="008C572B" w:rsidRPr="00BE3CB6">
        <w:rPr>
          <w:rFonts w:eastAsia="Calibri"/>
          <w:snapToGrid/>
          <w:color w:val="000000"/>
          <w:sz w:val="28"/>
          <w:szCs w:val="28"/>
          <w:lang w:eastAsia="en-US"/>
        </w:rPr>
        <w:t xml:space="preserve"> названного Федерального закона </w:t>
      </w:r>
      <w:r>
        <w:rPr>
          <w:snapToGrid/>
          <w:sz w:val="28"/>
          <w:szCs w:val="28"/>
        </w:rPr>
        <w:t>решение</w:t>
      </w:r>
      <w:r w:rsidR="0053364D">
        <w:rPr>
          <w:snapToGrid/>
          <w:sz w:val="28"/>
          <w:szCs w:val="28"/>
        </w:rPr>
        <w:t xml:space="preserve"> территориального регистрирующего органа об отказе в государственной регистрации может быть обжаловано в </w:t>
      </w:r>
      <w:r>
        <w:rPr>
          <w:snapToGrid/>
          <w:sz w:val="28"/>
          <w:szCs w:val="28"/>
        </w:rPr>
        <w:t xml:space="preserve"> вышестоящ</w:t>
      </w:r>
      <w:r w:rsidR="0053364D">
        <w:rPr>
          <w:snapToGrid/>
          <w:sz w:val="28"/>
          <w:szCs w:val="28"/>
        </w:rPr>
        <w:t>ий</w:t>
      </w:r>
      <w:r>
        <w:rPr>
          <w:snapToGrid/>
          <w:sz w:val="28"/>
          <w:szCs w:val="28"/>
        </w:rPr>
        <w:t xml:space="preserve"> регистрирующ</w:t>
      </w:r>
      <w:r w:rsidR="0053364D">
        <w:rPr>
          <w:snapToGrid/>
          <w:sz w:val="28"/>
          <w:szCs w:val="28"/>
        </w:rPr>
        <w:t>ий</w:t>
      </w:r>
      <w:r>
        <w:rPr>
          <w:snapToGrid/>
          <w:sz w:val="28"/>
          <w:szCs w:val="28"/>
        </w:rPr>
        <w:t xml:space="preserve"> орган</w:t>
      </w:r>
      <w:r w:rsidR="0053364D">
        <w:rPr>
          <w:snapToGrid/>
          <w:sz w:val="28"/>
          <w:szCs w:val="28"/>
        </w:rPr>
        <w:t xml:space="preserve">. </w:t>
      </w:r>
      <w:r w:rsidR="00EF2125">
        <w:rPr>
          <w:snapToGrid/>
          <w:sz w:val="28"/>
          <w:szCs w:val="28"/>
        </w:rPr>
        <w:t>Решение территориального регистрирующего органа об отказе в государственной регистрации может быть обжаловано в суд и (или) в фе</w:t>
      </w:r>
      <w:r w:rsidR="00BE3CB6" w:rsidRPr="00BE3CB6">
        <w:rPr>
          <w:snapToGrid/>
          <w:sz w:val="28"/>
          <w:szCs w:val="28"/>
        </w:rPr>
        <w:t xml:space="preserve">деральный орган исполнительной власти, уполномоченный в соответствии со </w:t>
      </w:r>
      <w:hyperlink r:id="rId8" w:history="1">
        <w:r w:rsidR="00BE3CB6" w:rsidRPr="00BE3CB6">
          <w:rPr>
            <w:snapToGrid/>
            <w:sz w:val="28"/>
            <w:szCs w:val="28"/>
          </w:rPr>
          <w:t>статьей 2</w:t>
        </w:r>
      </w:hyperlink>
      <w:r w:rsidR="00BE3CB6" w:rsidRPr="00BE3CB6">
        <w:rPr>
          <w:snapToGrid/>
          <w:sz w:val="28"/>
          <w:szCs w:val="28"/>
        </w:rPr>
        <w:t xml:space="preserve"> указанного Федерального закона, </w:t>
      </w:r>
      <w:r w:rsidR="00EF2125">
        <w:rPr>
          <w:snapToGrid/>
          <w:sz w:val="28"/>
          <w:szCs w:val="28"/>
        </w:rPr>
        <w:t xml:space="preserve">только после его обжалования в </w:t>
      </w:r>
      <w:r>
        <w:rPr>
          <w:snapToGrid/>
          <w:sz w:val="28"/>
          <w:szCs w:val="28"/>
        </w:rPr>
        <w:t>вышестоящи</w:t>
      </w:r>
      <w:r w:rsidR="00EF2125">
        <w:rPr>
          <w:snapToGrid/>
          <w:sz w:val="28"/>
          <w:szCs w:val="28"/>
        </w:rPr>
        <w:t>й</w:t>
      </w:r>
      <w:r>
        <w:rPr>
          <w:snapToGrid/>
          <w:sz w:val="28"/>
          <w:szCs w:val="28"/>
        </w:rPr>
        <w:t xml:space="preserve"> регистрирующи</w:t>
      </w:r>
      <w:r w:rsidR="00EF2125">
        <w:rPr>
          <w:snapToGrid/>
          <w:sz w:val="28"/>
          <w:szCs w:val="28"/>
        </w:rPr>
        <w:t>й</w:t>
      </w:r>
      <w:r>
        <w:rPr>
          <w:snapToGrid/>
          <w:sz w:val="28"/>
          <w:szCs w:val="28"/>
        </w:rPr>
        <w:t xml:space="preserve"> орган</w:t>
      </w:r>
      <w:r w:rsidR="00EF2125">
        <w:rPr>
          <w:snapToGrid/>
          <w:sz w:val="28"/>
          <w:szCs w:val="28"/>
        </w:rPr>
        <w:t>.</w:t>
      </w:r>
    </w:p>
    <w:p w:rsidR="00FC0B8F" w:rsidRPr="00FC0B8F" w:rsidRDefault="00FC0B8F" w:rsidP="00A31DBF">
      <w:pPr>
        <w:ind w:firstLine="720"/>
        <w:jc w:val="both"/>
        <w:rPr>
          <w:snapToGrid/>
          <w:sz w:val="28"/>
          <w:szCs w:val="28"/>
        </w:rPr>
      </w:pPr>
      <w:r w:rsidRPr="00FC0B8F">
        <w:rPr>
          <w:snapToGrid/>
          <w:sz w:val="28"/>
          <w:szCs w:val="28"/>
        </w:rPr>
        <w:t>Требования к форме и содержанию жалобы установлены статьей 25.4 названного Федерального закона.</w:t>
      </w:r>
    </w:p>
    <w:p w:rsidR="00FC0B8F" w:rsidRPr="00FC0B8F" w:rsidRDefault="00FC0B8F" w:rsidP="00A31DBF">
      <w:pPr>
        <w:autoSpaceDE w:val="0"/>
        <w:autoSpaceDN w:val="0"/>
        <w:adjustRightInd w:val="0"/>
        <w:ind w:firstLine="709"/>
        <w:jc w:val="both"/>
        <w:rPr>
          <w:rFonts w:eastAsia="Calibri"/>
          <w:snapToGrid/>
          <w:color w:val="000000"/>
          <w:sz w:val="28"/>
          <w:szCs w:val="28"/>
          <w:lang w:eastAsia="en-US"/>
        </w:rPr>
      </w:pPr>
    </w:p>
    <w:p w:rsidR="007C075C" w:rsidRDefault="007C075C" w:rsidP="006D4EB0">
      <w:pPr>
        <w:autoSpaceDE w:val="0"/>
        <w:autoSpaceDN w:val="0"/>
        <w:adjustRightInd w:val="0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C075C" w:rsidSect="00A36600">
      <w:headerReference w:type="even" r:id="rId9"/>
      <w:footerReference w:type="default" r:id="rId10"/>
      <w:pgSz w:w="11906" w:h="16838" w:code="9"/>
      <w:pgMar w:top="719" w:right="567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8D" w:rsidRDefault="00CC738D">
      <w:r>
        <w:separator/>
      </w:r>
    </w:p>
  </w:endnote>
  <w:endnote w:type="continuationSeparator" w:id="0">
    <w:p w:rsidR="00CC738D" w:rsidRDefault="00CC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C59" w:rsidRDefault="00525C59" w:rsidP="00525C59">
    <w:pPr>
      <w:pStyle w:val="a8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1B602B" w:rsidRPr="00525C59" w:rsidRDefault="00525C59" w:rsidP="00525C59">
    <w:pPr>
      <w:pStyle w:val="a8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8D" w:rsidRDefault="00CC738D">
      <w:r>
        <w:separator/>
      </w:r>
    </w:p>
  </w:footnote>
  <w:footnote w:type="continuationSeparator" w:id="0">
    <w:p w:rsidR="00CC738D" w:rsidRDefault="00CC7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2F" w:rsidRDefault="00F57E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7E2F" w:rsidRDefault="00F57E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6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4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2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6"/>
  </w:num>
  <w:num w:numId="2">
    <w:abstractNumId w:val="34"/>
  </w:num>
  <w:num w:numId="3">
    <w:abstractNumId w:val="3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0"/>
  </w:num>
  <w:num w:numId="5">
    <w:abstractNumId w:val="20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7"/>
  </w:num>
  <w:num w:numId="12">
    <w:abstractNumId w:val="14"/>
  </w:num>
  <w:num w:numId="13">
    <w:abstractNumId w:val="4"/>
  </w:num>
  <w:num w:numId="14">
    <w:abstractNumId w:val="33"/>
  </w:num>
  <w:num w:numId="15">
    <w:abstractNumId w:val="3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1"/>
  </w:num>
  <w:num w:numId="17">
    <w:abstractNumId w:val="3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1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16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25"/>
  </w:num>
  <w:num w:numId="29">
    <w:abstractNumId w:val="3"/>
  </w:num>
  <w:num w:numId="30">
    <w:abstractNumId w:val="17"/>
  </w:num>
  <w:num w:numId="31">
    <w:abstractNumId w:val="28"/>
  </w:num>
  <w:num w:numId="32">
    <w:abstractNumId w:val="15"/>
  </w:num>
  <w:num w:numId="33">
    <w:abstractNumId w:val="18"/>
  </w:num>
  <w:num w:numId="34">
    <w:abstractNumId w:val="30"/>
  </w:num>
  <w:num w:numId="35">
    <w:abstractNumId w:val="0"/>
  </w:num>
  <w:num w:numId="36">
    <w:abstractNumId w:val="7"/>
  </w:num>
  <w:num w:numId="37">
    <w:abstractNumId w:val="12"/>
  </w:num>
  <w:num w:numId="38">
    <w:abstractNumId w:val="8"/>
  </w:num>
  <w:num w:numId="39">
    <w:abstractNumId w:val="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6F"/>
    <w:rsid w:val="0002135A"/>
    <w:rsid w:val="0003240F"/>
    <w:rsid w:val="00033C66"/>
    <w:rsid w:val="000446BC"/>
    <w:rsid w:val="00054ECD"/>
    <w:rsid w:val="00062972"/>
    <w:rsid w:val="00082F20"/>
    <w:rsid w:val="00091614"/>
    <w:rsid w:val="000C2697"/>
    <w:rsid w:val="000D19E1"/>
    <w:rsid w:val="001163B1"/>
    <w:rsid w:val="00163FB0"/>
    <w:rsid w:val="00172A87"/>
    <w:rsid w:val="00183540"/>
    <w:rsid w:val="001A6018"/>
    <w:rsid w:val="001B602B"/>
    <w:rsid w:val="001D32A4"/>
    <w:rsid w:val="00225D29"/>
    <w:rsid w:val="00250D80"/>
    <w:rsid w:val="00284A68"/>
    <w:rsid w:val="002D41E6"/>
    <w:rsid w:val="002F1856"/>
    <w:rsid w:val="002F57FF"/>
    <w:rsid w:val="00313149"/>
    <w:rsid w:val="00316606"/>
    <w:rsid w:val="003A4A26"/>
    <w:rsid w:val="003C11CA"/>
    <w:rsid w:val="003D53E7"/>
    <w:rsid w:val="00433ACF"/>
    <w:rsid w:val="004653C9"/>
    <w:rsid w:val="00497501"/>
    <w:rsid w:val="00500ED3"/>
    <w:rsid w:val="0050255A"/>
    <w:rsid w:val="00523C38"/>
    <w:rsid w:val="00525C59"/>
    <w:rsid w:val="0053364D"/>
    <w:rsid w:val="00547B87"/>
    <w:rsid w:val="00554401"/>
    <w:rsid w:val="00555AEA"/>
    <w:rsid w:val="00577968"/>
    <w:rsid w:val="0059596F"/>
    <w:rsid w:val="005A69BE"/>
    <w:rsid w:val="005D76CA"/>
    <w:rsid w:val="005E45AE"/>
    <w:rsid w:val="006018C7"/>
    <w:rsid w:val="00616AF1"/>
    <w:rsid w:val="00631901"/>
    <w:rsid w:val="0063339D"/>
    <w:rsid w:val="0064094C"/>
    <w:rsid w:val="006529AC"/>
    <w:rsid w:val="0067673D"/>
    <w:rsid w:val="00686C66"/>
    <w:rsid w:val="00697100"/>
    <w:rsid w:val="006A6CE0"/>
    <w:rsid w:val="006C6DBA"/>
    <w:rsid w:val="006D344D"/>
    <w:rsid w:val="006D4EB0"/>
    <w:rsid w:val="006F3BC6"/>
    <w:rsid w:val="00741220"/>
    <w:rsid w:val="007A1C1A"/>
    <w:rsid w:val="007C0017"/>
    <w:rsid w:val="007C075C"/>
    <w:rsid w:val="007C76B5"/>
    <w:rsid w:val="007F523C"/>
    <w:rsid w:val="00803BA9"/>
    <w:rsid w:val="00815EE4"/>
    <w:rsid w:val="008A7467"/>
    <w:rsid w:val="008C572B"/>
    <w:rsid w:val="008C7B02"/>
    <w:rsid w:val="008F1623"/>
    <w:rsid w:val="008F331C"/>
    <w:rsid w:val="008F4330"/>
    <w:rsid w:val="00932B9F"/>
    <w:rsid w:val="00937626"/>
    <w:rsid w:val="009416DD"/>
    <w:rsid w:val="0098537D"/>
    <w:rsid w:val="00990301"/>
    <w:rsid w:val="00993EAF"/>
    <w:rsid w:val="009E11BA"/>
    <w:rsid w:val="00A071DD"/>
    <w:rsid w:val="00A203F8"/>
    <w:rsid w:val="00A31DBF"/>
    <w:rsid w:val="00A36600"/>
    <w:rsid w:val="00A6020F"/>
    <w:rsid w:val="00A735A6"/>
    <w:rsid w:val="00A7768B"/>
    <w:rsid w:val="00A97444"/>
    <w:rsid w:val="00A97573"/>
    <w:rsid w:val="00AB49A8"/>
    <w:rsid w:val="00AF0B17"/>
    <w:rsid w:val="00B12964"/>
    <w:rsid w:val="00B24CA3"/>
    <w:rsid w:val="00B53B3C"/>
    <w:rsid w:val="00B9032F"/>
    <w:rsid w:val="00B90890"/>
    <w:rsid w:val="00BA51C2"/>
    <w:rsid w:val="00BE3CB6"/>
    <w:rsid w:val="00BF4654"/>
    <w:rsid w:val="00C01221"/>
    <w:rsid w:val="00C02382"/>
    <w:rsid w:val="00C20BAA"/>
    <w:rsid w:val="00C369E4"/>
    <w:rsid w:val="00C45DD1"/>
    <w:rsid w:val="00C82849"/>
    <w:rsid w:val="00C92D6A"/>
    <w:rsid w:val="00CC738D"/>
    <w:rsid w:val="00CF11EF"/>
    <w:rsid w:val="00D62DCE"/>
    <w:rsid w:val="00D761B3"/>
    <w:rsid w:val="00D81131"/>
    <w:rsid w:val="00D91BB2"/>
    <w:rsid w:val="00DB7931"/>
    <w:rsid w:val="00DC2A6F"/>
    <w:rsid w:val="00DD4AC8"/>
    <w:rsid w:val="00E161FB"/>
    <w:rsid w:val="00E42CE6"/>
    <w:rsid w:val="00E5310A"/>
    <w:rsid w:val="00E742B5"/>
    <w:rsid w:val="00ED12EC"/>
    <w:rsid w:val="00EF2125"/>
    <w:rsid w:val="00F1206D"/>
    <w:rsid w:val="00F5128F"/>
    <w:rsid w:val="00F57E2F"/>
    <w:rsid w:val="00F63D39"/>
    <w:rsid w:val="00FC0B8F"/>
    <w:rsid w:val="00FC54D0"/>
    <w:rsid w:val="00FD226E"/>
    <w:rsid w:val="00FD3128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character" w:styleId="aa">
    <w:name w:val="Hyperlink"/>
    <w:rsid w:val="008A7467"/>
    <w:rPr>
      <w:color w:val="0000FF"/>
      <w:u w:val="single"/>
    </w:rPr>
  </w:style>
  <w:style w:type="paragraph" w:customStyle="1" w:styleId="2">
    <w:name w:val="Знак2"/>
    <w:basedOn w:val="a"/>
    <w:rsid w:val="00FC0B8F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  <w:style w:type="paragraph" w:styleId="31">
    <w:name w:val="Body Text Indent 3"/>
    <w:basedOn w:val="a"/>
    <w:link w:val="32"/>
    <w:unhideWhenUsed/>
    <w:rsid w:val="00A366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36600"/>
    <w:rPr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character" w:styleId="aa">
    <w:name w:val="Hyperlink"/>
    <w:rsid w:val="008A7467"/>
    <w:rPr>
      <w:color w:val="0000FF"/>
      <w:u w:val="single"/>
    </w:rPr>
  </w:style>
  <w:style w:type="paragraph" w:customStyle="1" w:styleId="2">
    <w:name w:val="Знак2"/>
    <w:basedOn w:val="a"/>
    <w:rsid w:val="00FC0B8F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  <w:style w:type="paragraph" w:styleId="31">
    <w:name w:val="Body Text Indent 3"/>
    <w:basedOn w:val="a"/>
    <w:link w:val="32"/>
    <w:unhideWhenUsed/>
    <w:rsid w:val="00A366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36600"/>
    <w:rPr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C07C536290FD753D9884BB16A8137A86656F8D7D358997842A856E192E2924394C751AA11EuB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1761</CharactersWithSpaces>
  <SharedDoc>false</SharedDoc>
  <HLinks>
    <vt:vector size="6" baseType="variant">
      <vt:variant>
        <vt:i4>262144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consultantplus://offline/ref=46C07C536290FD753D9884BB16A8137A86656F8D7D358997842A856E192E2924394C751AA11EuBK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lastModifiedBy>Щукина Светлана Алексеевна</cp:lastModifiedBy>
  <cp:revision>4</cp:revision>
  <cp:lastPrinted>2015-11-02T06:45:00Z</cp:lastPrinted>
  <dcterms:created xsi:type="dcterms:W3CDTF">2015-09-10T12:53:00Z</dcterms:created>
  <dcterms:modified xsi:type="dcterms:W3CDTF">2015-11-02T06:45:00Z</dcterms:modified>
</cp:coreProperties>
</file>