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4B863" w14:textId="378FA1B0" w:rsidR="00D10964" w:rsidRPr="00BB2F4D" w:rsidRDefault="00D10964" w:rsidP="007657BD">
      <w:pPr>
        <w:pStyle w:val="ConsPlusNormal"/>
        <w:ind w:left="581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A03E31" w:rsidRPr="00BB2F4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B2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3B7C" w:rsidRPr="00BB2F4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14:paraId="06FC9D9B" w14:textId="77777777" w:rsidR="00FF71BB" w:rsidRPr="00BB2F4D" w:rsidRDefault="00FF71BB" w:rsidP="007657BD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BB2F4D">
        <w:rPr>
          <w:rFonts w:ascii="Times New Roman" w:hAnsi="Times New Roman"/>
          <w:color w:val="000000" w:themeColor="text1"/>
          <w:sz w:val="24"/>
          <w:szCs w:val="24"/>
        </w:rPr>
        <w:t>к приказу ФНС России</w:t>
      </w:r>
    </w:p>
    <w:p w14:paraId="243702ED" w14:textId="77777777" w:rsidR="00FF71BB" w:rsidRPr="00BB2F4D" w:rsidRDefault="00FF71BB" w:rsidP="007657BD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BB2F4D">
        <w:rPr>
          <w:rFonts w:ascii="Times New Roman" w:hAnsi="Times New Roman"/>
          <w:color w:val="000000" w:themeColor="text1"/>
          <w:sz w:val="24"/>
          <w:szCs w:val="24"/>
        </w:rPr>
        <w:t xml:space="preserve">от «____» _________202_ г. </w:t>
      </w:r>
    </w:p>
    <w:p w14:paraId="3B219108" w14:textId="0368EEA7" w:rsidR="00D10964" w:rsidRPr="00BB2F4D" w:rsidRDefault="007657BD" w:rsidP="007657BD">
      <w:pPr>
        <w:pStyle w:val="ConsPlusNormal"/>
        <w:ind w:left="581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F4D">
        <w:rPr>
          <w:rFonts w:ascii="Times New Roman" w:hAnsi="Times New Roman"/>
          <w:color w:val="000000" w:themeColor="text1"/>
          <w:sz w:val="24"/>
          <w:szCs w:val="24"/>
        </w:rPr>
        <w:t>№ __________________</w:t>
      </w:r>
    </w:p>
    <w:p w14:paraId="37FA63D0" w14:textId="77777777" w:rsidR="00FF71BB" w:rsidRPr="00BB2F4D" w:rsidRDefault="00FF71BB" w:rsidP="007657BD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197"/>
      <w:bookmarkEnd w:id="0"/>
    </w:p>
    <w:p w14:paraId="3007FBC3" w14:textId="77777777" w:rsidR="00FF71BB" w:rsidRPr="00BB2F4D" w:rsidRDefault="00FF71BB" w:rsidP="007657BD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C5BC4C" w14:textId="77777777" w:rsidR="00D10964" w:rsidRPr="00BB2F4D" w:rsidRDefault="00D10964" w:rsidP="00A03E3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14:paraId="69D561A9" w14:textId="77777777" w:rsidR="00D10964" w:rsidRPr="00BB2F4D" w:rsidRDefault="00D10964" w:rsidP="00A03E3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ЗАПОЛНЕНИЯ </w:t>
      </w:r>
      <w:r w:rsidR="004D6EA5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ОТЧЕТ</w:t>
      </w:r>
      <w:r w:rsidR="00C61519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D6EA5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C61519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ОПЕРАЦИЯХ С </w:t>
      </w:r>
      <w:r w:rsidR="004D6EA5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ТОВАР</w:t>
      </w:r>
      <w:r w:rsidR="00C61519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F3CEA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ПОДЛЕЖАЩИМИ ПРОСЛЕЖИВАЕМОСТИ</w:t>
      </w:r>
    </w:p>
    <w:p w14:paraId="3A10771F" w14:textId="77777777" w:rsidR="00D10964" w:rsidRPr="00BB2F4D" w:rsidRDefault="00D10964" w:rsidP="00A03E3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AE84AB" w14:textId="1B54C32C" w:rsidR="001F3FA5" w:rsidRPr="00BB2F4D" w:rsidRDefault="00A638E7" w:rsidP="00A03E31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6BC8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Общие требования к порядку заполнения </w:t>
      </w:r>
      <w:r w:rsidR="00FF71BB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отчет</w:t>
      </w:r>
      <w:r w:rsidR="00812D7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F71BB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операциях с товарами, подлежащими прослеживаемости</w:t>
      </w:r>
    </w:p>
    <w:p w14:paraId="1BD40672" w14:textId="77777777" w:rsidR="00FF71BB" w:rsidRPr="00BB2F4D" w:rsidRDefault="00FF71BB" w:rsidP="007657BD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246ABD" w14:textId="2891BC68" w:rsidR="003B060A" w:rsidRPr="00BB2F4D" w:rsidRDefault="00830EC6" w:rsidP="007657B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A84989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об операциях с товарами, подлежащими прослеживаемости (далее – </w:t>
      </w:r>
      <w:r w:rsidR="00954F5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84989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тчет), представляется участниками оборота товаров, подлежащих прослеживаемости,</w:t>
      </w:r>
      <w:r w:rsidR="003F111E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989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 и в порядке, предусмотренном</w:t>
      </w:r>
      <w:r w:rsidR="00DA5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Российской Федерации о порядке </w:t>
      </w:r>
      <w:r w:rsidR="00A84989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5B09" w:rsidRPr="00BC37C9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функционирования</w:t>
      </w:r>
      <w:r w:rsidR="003655D6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национальной систем</w:t>
      </w:r>
      <w:r w:rsidR="00BC37C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3655D6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прослеживаемости товаров</w:t>
      </w:r>
      <w:r w:rsidR="00DA55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1BC18B0" w14:textId="19CD84AC" w:rsidR="006804D3" w:rsidRPr="00BB2F4D" w:rsidRDefault="003F111E" w:rsidP="007657B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92282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804D3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92282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При представлении в налоговый орган по месту учета организацией</w:t>
      </w:r>
      <w:r w:rsidR="00D7301D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8309E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92282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792282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равопреемником </w:t>
      </w:r>
      <w:r w:rsidR="00954F5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92282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тчета за последний отчетный </w:t>
      </w:r>
      <w:r w:rsidR="00DA11F8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квартал </w:t>
      </w:r>
      <w:r w:rsidR="00792282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скорректированного </w:t>
      </w:r>
      <w:r w:rsidR="00954F5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92282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тчета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 в титульном </w:t>
      </w:r>
      <w:r w:rsidR="007E7F7E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разделе</w:t>
      </w:r>
      <w:r w:rsidR="00792282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реквизиту </w:t>
      </w:r>
      <w:r w:rsidR="00A03E3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92282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по месту нахож</w:t>
      </w:r>
      <w:r w:rsidR="00A03E3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дения (учета)» указывается код «215» или «216»</w:t>
      </w:r>
      <w:r w:rsidR="00792282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B1704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04D3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Коды форм реорганизации и код ликвидации </w:t>
      </w:r>
      <w:r w:rsidR="000B1704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="006804D3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приведены в приложении </w:t>
      </w:r>
      <w:r w:rsidR="00991AC4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D7615D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804D3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14:paraId="480BED21" w14:textId="2AF217B1" w:rsidR="00792282" w:rsidRPr="00BB2F4D" w:rsidRDefault="00A03E31" w:rsidP="007657B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В реквизите «</w:t>
      </w:r>
      <w:r w:rsidR="00792282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ИНН/КПП реорганизованной организации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92282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указываются, соответственно, </w:t>
      </w:r>
      <w:r w:rsidR="000B1704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идентификационный номер 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налогоплательщика и</w:t>
      </w:r>
      <w:r w:rsidR="00792282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1704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код причины постановки на учет</w:t>
      </w:r>
      <w:r w:rsidR="00792282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были присвоены организации до реорганизации налоговым органом по месту ее нахождения (по налогоплательщикам, отнесенным к категории крупнейших, 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792282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налоговым органом по месту учета в качестве крупнейшего налогоплательщика).</w:t>
      </w:r>
    </w:p>
    <w:p w14:paraId="4D004314" w14:textId="39D9BDD2" w:rsidR="00370578" w:rsidRPr="00BB2F4D" w:rsidRDefault="003F111E" w:rsidP="007657B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F3FE3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оборота товаров, подлежащих прослеживаемости</w:t>
      </w:r>
      <w:r w:rsidR="00DF1BE5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являющиеся крупнейшими налогоплательщиками на основании Уведомления о постановке на учет в налоговом органе юридического лица в качестве крупнейшего налогоплательщика по форме </w:t>
      </w:r>
      <w:r w:rsidR="00A03E3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F1BE5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</w:t>
      </w:r>
      <w:r w:rsidR="00C8309E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F1BE5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КНУ, утвержденной приказом Федеральной налоговой службы от 26.04.2005 </w:t>
      </w:r>
      <w:r w:rsidR="00A03E3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30EC6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F1BE5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САЭ</w:t>
      </w:r>
      <w:r w:rsidR="00C8309E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F1BE5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8309E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F1BE5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09/178@ </w:t>
      </w:r>
      <w:r w:rsidR="00A03E3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30EC6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Об </w:t>
      </w:r>
      <w:r w:rsidR="00DF1BE5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утверждении формы </w:t>
      </w:r>
      <w:r w:rsidR="00A03E3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30EC6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F1BE5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8309E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F1BE5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КНУ </w:t>
      </w:r>
      <w:r w:rsidR="00A03E3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F1BE5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постановке на учет </w:t>
      </w:r>
      <w:proofErr w:type="gramStart"/>
      <w:r w:rsidR="00DF1BE5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DF1BE5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F1BE5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налоговом органе юридического лица в качестве крупнейшего налогоплательщика</w:t>
      </w:r>
      <w:r w:rsidR="00A03E3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F1BE5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(зарегистрирован Министерством юстиции Российской Федерации 25 мая 2005 г., регистрационный </w:t>
      </w:r>
      <w:r w:rsidR="00A03E3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F1BE5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6638; Бюллетень нормативных актов федеральных органов исполнительной власти, 2005, </w:t>
      </w:r>
      <w:r w:rsidR="00A03E3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F71BB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23) (далее –</w:t>
      </w:r>
      <w:r w:rsidR="00DF1BE5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 о постановке на учет по форме </w:t>
      </w:r>
      <w:r w:rsidR="00A03E3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F1BE5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</w:t>
      </w:r>
      <w:r w:rsidR="00C8309E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F1BE5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КНУ) в титульном </w:t>
      </w:r>
      <w:r w:rsidR="00DF3FE3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разделе</w:t>
      </w:r>
      <w:r w:rsidR="00DF1BE5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реквизиту </w:t>
      </w:r>
      <w:r w:rsidR="00A03E3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F1BE5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по месту нахождения (учета)</w:t>
      </w:r>
      <w:r w:rsidR="00A03E3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F1BE5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 код </w:t>
      </w:r>
      <w:r w:rsidR="00A03E3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F1BE5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213</w:t>
      </w:r>
      <w:r w:rsidR="00A03E3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F1BE5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в пятом и шестом знаке КПП указывается значение </w:t>
      </w:r>
      <w:r w:rsidR="00A03E3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F1BE5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A03E3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F1BE5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0D74517B" w14:textId="58C8CB1C" w:rsidR="008A4603" w:rsidRPr="00BB2F4D" w:rsidRDefault="00D17200" w:rsidP="007657B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E7F7E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30EC6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E7F7E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Графы табличной части </w:t>
      </w:r>
      <w:r w:rsidR="00954F5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E7F7E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тчета, заполняются отдельно по каждой </w:t>
      </w:r>
      <w:r w:rsidR="007E7F7E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операции</w:t>
      </w:r>
      <w:r w:rsidR="007A6164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отражения информации в отношении партий товара, </w:t>
      </w:r>
      <w:r w:rsidR="007E7F7E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подлежащ</w:t>
      </w:r>
      <w:r w:rsidR="005D1038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7E7F7E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прослеживаемости, </w:t>
      </w:r>
      <w:r w:rsidR="00E32175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которым присвоен </w:t>
      </w:r>
      <w:r w:rsidR="007E7F7E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регистрационный номер партии товара</w:t>
      </w:r>
      <w:r w:rsidR="007D1529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подлежащего прослеживаемости,</w:t>
      </w:r>
      <w:r w:rsidR="007E7F7E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</w:t>
      </w:r>
      <w:r w:rsidR="00DA5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57F" w:rsidRPr="00DA557F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положениями постановления Правительства Российской Федерации о порядке функционирования национальной системы прослеживаемости товаров</w:t>
      </w:r>
      <w:r w:rsidR="00DA55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451B423" w14:textId="46E366E8" w:rsidR="00D26493" w:rsidRPr="00BB2F4D" w:rsidRDefault="008A4603" w:rsidP="007657B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в рамках операции с товарами, подлежащими прослеживаемости, соответствующей определенному коду вида операции с товарами, подлежащими прослеживаемости,</w:t>
      </w:r>
      <w:r w:rsidR="00830EC6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приложением № 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к настоящему Порядку, в отношении товаров, подлежащих </w:t>
      </w:r>
      <w:r w:rsidR="00FF71BB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прослеживаемости, имеющих</w:t>
      </w:r>
      <w:r w:rsidR="007D1529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одинаковую стоимость за единицу товара, </w:t>
      </w:r>
      <w:r w:rsidR="00D26493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первичного учетного документа, указанные в графах 4</w:t>
      </w:r>
      <w:r w:rsidR="00747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799B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47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6493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6, на основании которого были совершены операции с указанными товарами, отражаются в одной строке </w:t>
      </w:r>
      <w:r w:rsidR="00954F5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26493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тчета.</w:t>
      </w:r>
      <w:r w:rsidR="008D496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14:paraId="4912CECF" w14:textId="4B852D5B" w:rsidR="008D4961" w:rsidRPr="00BB2F4D" w:rsidRDefault="008D4961" w:rsidP="007657B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указанной строке </w:t>
      </w:r>
      <w:r w:rsidR="00954F5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26493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тчета заполняются подстроки граф </w:t>
      </w:r>
      <w:r w:rsidR="00FF71BB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– </w:t>
      </w:r>
      <w:r w:rsidR="007D1529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каждому регистрационному номеру партии товара, подлежащего прослеживаемости, указанному в графе </w:t>
      </w:r>
      <w:r w:rsidR="007D1529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26493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4F5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26493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тчета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C79A48" w14:textId="79F96B89" w:rsidR="00272DD2" w:rsidRPr="00BB2F4D" w:rsidRDefault="00830EC6" w:rsidP="007657B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72DD2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914230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Графы </w:t>
      </w:r>
      <w:r w:rsidR="00A43540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14230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43540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</w:t>
      </w:r>
      <w:r w:rsidR="00272DD2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табличной части отчета заполняются только для операций с кодами</w:t>
      </w:r>
      <w:r w:rsidR="00A43540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</w:t>
      </w:r>
      <w:r w:rsidR="008B36DD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43540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14230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графы </w:t>
      </w:r>
      <w:r w:rsidR="00A43540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B36DD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14230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43540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272DD2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на основе договоров поручения, договоров комиссии или агентских договоров</w:t>
      </w:r>
      <w:r w:rsidR="00126FAD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976BA0A" w14:textId="132DA829" w:rsidR="00DF3FE3" w:rsidRPr="00BB2F4D" w:rsidRDefault="00830EC6" w:rsidP="007657B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71393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DF3FE3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Значения стоимостных показателей, отражаемых в </w:t>
      </w:r>
      <w:r w:rsidR="00695C78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графе</w:t>
      </w:r>
      <w:r w:rsidR="008B6ADF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1529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A43540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FE3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табличной части </w:t>
      </w:r>
      <w:r w:rsidR="00954F5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F3FE3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тчета, указываются в рублях</w:t>
      </w:r>
      <w:r w:rsidR="00F83A9C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5990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и копейках.</w:t>
      </w:r>
      <w:r w:rsidR="00A638E7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988458E" w14:textId="3B5B820B" w:rsidR="00A638E7" w:rsidRPr="00BB2F4D" w:rsidRDefault="00830EC6" w:rsidP="007657B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7. </w:t>
      </w:r>
      <w:r w:rsidR="00A638E7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обнаружении </w:t>
      </w:r>
      <w:r w:rsidR="00E8094B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участником оборота товаров, подлежащих прослеживаемости, </w:t>
      </w:r>
      <w:r w:rsidR="00A638E7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поданном им </w:t>
      </w:r>
      <w:r w:rsidR="00954F5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638E7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тчете в налоговый орган факта не отражения или неполноты отраж</w:t>
      </w:r>
      <w:r w:rsidR="00E8094B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сведений, а также ошибок, участник оборота товаров, подлежащих прослеживаемости, </w:t>
      </w:r>
      <w:r w:rsidR="00A638E7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обязан внести необходимые изменения в </w:t>
      </w:r>
      <w:r w:rsidR="00954F5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638E7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тчет и представить в налоговый орган скорректированный </w:t>
      </w:r>
      <w:r w:rsidR="00954F5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638E7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тчет</w:t>
      </w:r>
      <w:r w:rsidR="00A43540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BE140F7" w14:textId="3DAB1D96" w:rsidR="00A638E7" w:rsidRPr="00BB2F4D" w:rsidRDefault="00A638E7" w:rsidP="007657B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перерасчете количества товара, подлежащего прослеживаемости, в периоде совершения ошибки (искажения) скорректированный </w:t>
      </w:r>
      <w:r w:rsidR="00954F5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тчет представляется в налоговый орган в файле установленного формата, действовавшего в том отчетном квартале, за который производится перерасчет количества.</w:t>
      </w:r>
    </w:p>
    <w:p w14:paraId="4ACBCB1A" w14:textId="77777777" w:rsidR="00DF3FE3" w:rsidRPr="00BB2F4D" w:rsidRDefault="00DF3FE3" w:rsidP="00E710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3B8A80" w14:textId="77DAB7C2" w:rsidR="00510AB3" w:rsidRPr="00BB2F4D" w:rsidRDefault="00510AB3" w:rsidP="00E7107A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II. </w:t>
      </w:r>
      <w:r w:rsidR="009723F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аполнени</w:t>
      </w:r>
      <w:r w:rsidR="009723F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титульного </w:t>
      </w:r>
      <w:r w:rsidR="00CC1818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раздела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4F5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тчета</w:t>
      </w:r>
    </w:p>
    <w:p w14:paraId="0F397F09" w14:textId="77777777" w:rsidR="004D0F9B" w:rsidRPr="00BB2F4D" w:rsidRDefault="004D0F9B" w:rsidP="00E7107A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3D131D" w14:textId="3E6330C7" w:rsidR="00D10964" w:rsidRPr="00BB2F4D" w:rsidRDefault="00830EC6" w:rsidP="007657B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10964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73EB6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10964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строках </w:t>
      </w:r>
      <w:r w:rsidR="00F62F7D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титульного раздела </w:t>
      </w:r>
      <w:r w:rsidR="00954F5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87A8B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тчета</w:t>
      </w:r>
      <w:r w:rsidR="009E7013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964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указываются следующие сведения:</w:t>
      </w:r>
    </w:p>
    <w:p w14:paraId="5BF630EB" w14:textId="3A9FB180" w:rsidR="005A7024" w:rsidRPr="00BB2F4D" w:rsidRDefault="005A7024" w:rsidP="007657BD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строке </w:t>
      </w:r>
      <w:r w:rsidR="004D0F9B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1 – год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котором осуществлены операции с товарами, подлежащими прослеживаемости</w:t>
      </w:r>
      <w:r w:rsidR="000B1704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94F629D" w14:textId="24CA15C1" w:rsidR="005A7024" w:rsidRPr="00BB2F4D" w:rsidRDefault="005A7024" w:rsidP="007657BD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в строке</w:t>
      </w:r>
      <w:r w:rsidR="00B5275C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1а </w:t>
      </w:r>
      <w:r w:rsidR="004D0F9B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квартал, в котором осуществлены операции с товарами, подлежащими прослеживаемости</w:t>
      </w:r>
      <w:r w:rsidR="000B1704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3F1F80E" w14:textId="3AA57D17" w:rsidR="005A7024" w:rsidRPr="00BB2F4D" w:rsidRDefault="005A7024" w:rsidP="007657BD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строке </w:t>
      </w:r>
      <w:r w:rsidR="00B5275C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4D0F9B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5275C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порядковый номер актуального корректировочного отчёта об операциях с товарами, подлежащими прослеживаемости. При заполнении указанной строки в первичном </w:t>
      </w:r>
      <w:r w:rsidR="00954F5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тчете проставляется </w:t>
      </w:r>
      <w:r w:rsidR="00A03E3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03E3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корректировочном </w:t>
      </w:r>
      <w:r w:rsidR="00954F5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тчете указывается номер корректировки (например, </w:t>
      </w:r>
      <w:r w:rsidR="00A03E3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03E3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3E3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3E3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так далее)</w:t>
      </w:r>
      <w:r w:rsidR="000B1704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7EDFA12" w14:textId="5624407C" w:rsidR="005A7024" w:rsidRPr="00BB2F4D" w:rsidRDefault="005A7024" w:rsidP="007657BD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строке </w:t>
      </w:r>
      <w:r w:rsidR="004D0F9B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3 –</w:t>
      </w:r>
      <w:r w:rsidR="00A71FC7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0F9B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 налогового органа, в который представляется </w:t>
      </w:r>
      <w:r w:rsidR="00954F5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D0F9B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тчет</w:t>
      </w:r>
      <w:r w:rsidR="00C8309E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D0F9B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код налогового органа, </w:t>
      </w:r>
      <w:r w:rsidR="00C8309E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указанный в</w:t>
      </w:r>
      <w:r w:rsidR="004D0F9B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</w:t>
      </w:r>
      <w:r w:rsidR="00C8309E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</w:t>
      </w:r>
      <w:r w:rsidR="004D0F9B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постано</w:t>
      </w:r>
      <w:r w:rsidR="00C8309E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вки </w:t>
      </w:r>
      <w:r w:rsidR="004D0F9B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налоговом органе. </w:t>
      </w:r>
      <w:proofErr w:type="gramStart"/>
      <w:r w:rsidR="004D0F9B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Коды субъектов Российской Федерации приведены в приложен</w:t>
      </w:r>
      <w:r w:rsidR="00A71FC7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ии № 2 к настоящему Порядку</w:t>
      </w:r>
      <w:r w:rsidR="00C8309E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651E9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gramEnd"/>
    </w:p>
    <w:p w14:paraId="4C13055E" w14:textId="4EC40CF7" w:rsidR="000E0900" w:rsidRPr="00BB2F4D" w:rsidRDefault="000E0900" w:rsidP="00DA557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строке </w:t>
      </w:r>
      <w:r w:rsidR="005C2257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AA488F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129B4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AA488F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 оборота товаров, подлежащих прослеживаемости </w:t>
      </w:r>
      <w:r w:rsidR="00C8309E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юридического лица, представительства (филиала) иностранной организации, иного обособленного подразделения, осуществляющего деятельность на территории Российской Федерации, </w:t>
      </w:r>
      <w:r w:rsidR="00417070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</w:t>
      </w:r>
      <w:r w:rsidR="003655D6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 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физического лица</w:t>
      </w:r>
      <w:r w:rsidR="009F7679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97D54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поставленного на учет </w:t>
      </w:r>
      <w:r w:rsidR="009F7679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индивидуального предпринимателя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A488F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который</w:t>
      </w:r>
      <w:r w:rsidR="00900AA0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="00DA557F" w:rsidRPr="00DA557F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положениями постановления Правительства Российской Федерации о порядке функционирования национальной системы прослеживаемости товаров</w:t>
      </w:r>
      <w:r w:rsidR="00DA5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488F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обязан</w:t>
      </w:r>
      <w:r w:rsidR="0095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представлять о</w:t>
      </w:r>
      <w:r w:rsidR="00900AA0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тчет</w:t>
      </w:r>
      <w:r w:rsidR="000B1704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14:paraId="10C1CC14" w14:textId="0C8C8F80" w:rsidR="000E0900" w:rsidRPr="00BB2F4D" w:rsidRDefault="000E0900" w:rsidP="00DA557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строке </w:t>
      </w:r>
      <w:r w:rsidR="005C2257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4а </w:t>
      </w:r>
      <w:r w:rsidR="00C8309E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129B4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идентификационный номер налогоплательщика </w:t>
      </w:r>
      <w:r w:rsidR="00417070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 оборота товаров, подлежащих п</w:t>
      </w:r>
      <w:r w:rsidR="00907039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рослеживаемости 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юридического лица, представительства (филиала) иностранной организации, иного обособленного подразделения, осуществляющего деятельность на территории Российской Федерации, </w:t>
      </w:r>
      <w:r w:rsidR="00417070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физического лица,</w:t>
      </w:r>
      <w:r w:rsidR="009F7679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7D54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поставленного на учет </w:t>
      </w:r>
      <w:r w:rsidR="009F7679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индивидуального предпринимателя</w:t>
      </w:r>
      <w:r w:rsidR="00417070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в соответствии с</w:t>
      </w:r>
      <w:r w:rsidR="00DA5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57F" w:rsidRPr="00DA557F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положениями постановления Правительства Российской Федерации о порядке функционирования национальной системы прослеживаемости товаров</w:t>
      </w:r>
      <w:r w:rsidR="00417070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 представлять </w:t>
      </w:r>
      <w:r w:rsidR="00954F5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17070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тчет</w:t>
      </w:r>
      <w:r w:rsidR="000B1704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14:paraId="4C55C497" w14:textId="734F8100" w:rsidR="005A7024" w:rsidRPr="00BB2F4D" w:rsidRDefault="000E0900" w:rsidP="00DA557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строке </w:t>
      </w:r>
      <w:r w:rsidR="005C2257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71FC7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б –</w:t>
      </w:r>
      <w:r w:rsidR="00D129B4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код причины постановки на учет</w:t>
      </w:r>
      <w:r w:rsidR="00417070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 оборота товар</w:t>
      </w:r>
      <w:r w:rsidR="00907039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ов, подлежащих прослеживаемости 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лица, представительства (филиала) иностранной организации, иного обособленного подразделения, осуществляющего деятельность на т</w:t>
      </w:r>
      <w:r w:rsidR="00417070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ерритории Российской Федерации, который в соответствии</w:t>
      </w:r>
      <w:r w:rsidR="00DA5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57F" w:rsidRPr="00DA557F">
        <w:rPr>
          <w:rFonts w:ascii="Times New Roman" w:hAnsi="Times New Roman" w:cs="Times New Roman"/>
          <w:color w:val="000000" w:themeColor="text1"/>
          <w:sz w:val="28"/>
          <w:szCs w:val="28"/>
        </w:rPr>
        <w:t>с положениями постановления Правительства Российской Федерации о порядке функционирования национальной системы прослеживаемости товаров</w:t>
      </w:r>
      <w:r w:rsidR="00417070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 представлять </w:t>
      </w:r>
      <w:r w:rsidR="00954F5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17070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тчет;</w:t>
      </w:r>
      <w:proofErr w:type="gramEnd"/>
    </w:p>
    <w:p w14:paraId="7396C504" w14:textId="21929BA3" w:rsidR="003C2FD3" w:rsidRPr="00BB2F4D" w:rsidRDefault="003C2FD3" w:rsidP="007657BD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строке </w:t>
      </w:r>
      <w:r w:rsidR="005C2257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C8309E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C2257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коды, которые приведены в приложении </w:t>
      </w:r>
      <w:r w:rsidR="00A03E3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к настоящему Порядку</w:t>
      </w:r>
      <w:r w:rsidR="006B0C26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A112269" w14:textId="2ED35C89" w:rsidR="00F62F7D" w:rsidRPr="00BB2F4D" w:rsidRDefault="00F62F7D" w:rsidP="007657BD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в строке</w:t>
      </w:r>
      <w:r w:rsidR="005C2257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</w:t>
      </w:r>
      <w:r w:rsidR="00907039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– код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реорганизации (ликвидации)</w:t>
      </w:r>
      <w:r w:rsidR="00907039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приложением </w:t>
      </w:r>
      <w:r w:rsidR="00A03E3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2FD3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 w:rsidR="006B0C26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0C840DE" w14:textId="7410B9B6" w:rsidR="00A83E21" w:rsidRPr="00BB2F4D" w:rsidRDefault="00A83E21" w:rsidP="007657B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строке </w:t>
      </w:r>
      <w:r w:rsidR="005C2257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 w:rsidR="00C8309E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C2257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 и КПП, которые были присвоены </w:t>
      </w:r>
      <w:r w:rsidR="00417070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 оборота товаров, подлежащих прослеживаемости, 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реорганизации налоговым органом по месту ее нахождения (по налогоплательщикам, отнесенным к категории крупнейших, </w:t>
      </w:r>
      <w:r w:rsidR="00C8309E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налоговым органом по месту учета в качестве крупнейшего налогоплательщика)</w:t>
      </w:r>
      <w:r w:rsidR="006B0C26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DCD246A" w14:textId="77777777" w:rsidR="00264980" w:rsidRPr="00BB2F4D" w:rsidRDefault="00264980" w:rsidP="00E710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FAC93B" w14:textId="0F8C31DB" w:rsidR="00CC1818" w:rsidRPr="00BB2F4D" w:rsidRDefault="00BB2F4D" w:rsidP="00E7107A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CC1818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6088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CC1818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аполнени</w:t>
      </w:r>
      <w:r w:rsidR="00C6088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C1818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</w:t>
      </w:r>
      <w:r w:rsidR="00695C78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со сведениями об операциях с товарами, подлежащими прослеживаемости</w:t>
      </w:r>
    </w:p>
    <w:p w14:paraId="04DD09F3" w14:textId="77777777" w:rsidR="00907039" w:rsidRPr="00BB2F4D" w:rsidRDefault="00907039" w:rsidP="00E7107A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06A449" w14:textId="1E8BC34B" w:rsidR="005C2CF5" w:rsidRPr="00BB2F4D" w:rsidRDefault="00830EC6" w:rsidP="007657B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7107A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126FAD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="000E0E9C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сведениями об операциях с товарами, подлежащими прослеживаемости, в виде таблицы </w:t>
      </w:r>
      <w:r w:rsidR="00126FAD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включает в себя </w:t>
      </w:r>
      <w:r w:rsidR="00695C78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операциях</w:t>
      </w:r>
      <w:r w:rsidR="005C2CF5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(дата; код</w:t>
      </w:r>
      <w:r w:rsidR="006B0C26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</w:t>
      </w:r>
      <w:r w:rsidR="005C2CF5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95C78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первичных </w:t>
      </w:r>
      <w:r w:rsidR="00674F99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учетных </w:t>
      </w:r>
      <w:r w:rsidR="00695C78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документах, контрагентах с обязательным </w:t>
      </w:r>
      <w:r w:rsidR="00695C78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отражением сведений о партии товара,</w:t>
      </w:r>
      <w:r w:rsidR="00EB57F9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подлежащего прослеживаемости (регистрационный номер партии товара, подлежащего прослеживаемости</w:t>
      </w:r>
      <w:r w:rsidR="00695C78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; количество, единицы измерения, стоимость).</w:t>
      </w:r>
    </w:p>
    <w:p w14:paraId="02D98C25" w14:textId="53AA8590" w:rsidR="00370B87" w:rsidRPr="00BB2F4D" w:rsidRDefault="00830EC6" w:rsidP="007657B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4407B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E0E9C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 В</w:t>
      </w:r>
      <w:r w:rsidR="00A4407B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графах </w:t>
      </w:r>
      <w:r w:rsidR="00954F5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87A8B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тчета</w:t>
      </w:r>
      <w:r w:rsidR="00A4407B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следующие сведения:</w:t>
      </w:r>
    </w:p>
    <w:p w14:paraId="6EE21239" w14:textId="702BB4B2" w:rsidR="001C66A9" w:rsidRPr="00BB2F4D" w:rsidRDefault="000E0900" w:rsidP="007657B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1 </w:t>
      </w:r>
      <w:r w:rsidR="00C8309E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C17AE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66A9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порядковый</w:t>
      </w:r>
      <w:r w:rsidR="00A740A2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 </w:t>
      </w:r>
      <w:r w:rsidR="000C6664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строки</w:t>
      </w:r>
      <w:r w:rsidR="006B0C26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1E20A0B" w14:textId="79AAFBFD" w:rsidR="00027C6E" w:rsidRPr="00BB2F4D" w:rsidRDefault="000C6664" w:rsidP="007657B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="00027C6E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C8309E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E0900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7C6E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дата совершения операции</w:t>
      </w:r>
      <w:r w:rsidR="000E0900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товарами</w:t>
      </w:r>
      <w:r w:rsidR="00C65CC3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подлежащими прослеживаемости</w:t>
      </w:r>
      <w:r w:rsidR="006B0C26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7A84A26" w14:textId="105EFBF1" w:rsidR="00A740A2" w:rsidRPr="00BB2F4D" w:rsidRDefault="00A740A2" w:rsidP="007657B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="00027C6E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309E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E0900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 </w:t>
      </w:r>
      <w:r w:rsidR="00FE4AF2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вида 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операции с товар</w:t>
      </w:r>
      <w:r w:rsidR="005B2433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E734E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65CC3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подлежащими прослеживаемости,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="00FE4AF2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приложением 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 к </w:t>
      </w:r>
      <w:r w:rsidR="003C756D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настоящему </w:t>
      </w:r>
      <w:r w:rsidR="00664839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C756D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орядку</w:t>
      </w:r>
      <w:r w:rsidR="006B0C26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EEE0BC3" w14:textId="47D895EB" w:rsidR="00E87042" w:rsidRPr="00BB2F4D" w:rsidRDefault="003C756D" w:rsidP="007657B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="00554304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C8309E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E0900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6AAA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 документа, на основании которого были совершены операции с товарами, подлежащими прослеживаемости «1 – счет-фактура», </w:t>
      </w:r>
      <w:r w:rsidR="00304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A5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– </w:t>
      </w:r>
      <w:r w:rsidR="00304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корректировочный счет-фактура», </w:t>
      </w:r>
      <w:r w:rsidR="00746AAA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0476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46AAA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универсальный передаточный документ»</w:t>
      </w:r>
      <w:r w:rsidR="003047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46AAA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«4 – универсальный корректировочный документ» </w:t>
      </w:r>
      <w:r w:rsidR="00746AAA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или «</w:t>
      </w:r>
      <w:r w:rsidR="0030476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46AAA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иной первичный учетный документ»; </w:t>
      </w:r>
    </w:p>
    <w:p w14:paraId="2D45F522" w14:textId="2DBE6D45" w:rsidR="003C756D" w:rsidRPr="00BB2F4D" w:rsidRDefault="003C756D" w:rsidP="007657B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="00554304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C8309E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E0900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 документа, на основании которого были совершены операции с товарам</w:t>
      </w:r>
      <w:r w:rsidR="000C6664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и, подлежащими прослеживаемости</w:t>
      </w:r>
      <w:r w:rsidR="006B0C26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FD9E327" w14:textId="33D047F6" w:rsidR="00C07EEF" w:rsidRPr="00BB2F4D" w:rsidRDefault="00C07EEF" w:rsidP="007657B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="00554304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="00C8309E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E0900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дата документа</w:t>
      </w:r>
      <w:r w:rsidR="000E0900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, на основании которого были совершены операции с товарами, подлежащими прослеживаемости</w:t>
      </w:r>
      <w:r w:rsidR="006B0C26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4EC4C27" w14:textId="45A9264F" w:rsidR="000E0900" w:rsidRPr="00BB2F4D" w:rsidRDefault="000E0900" w:rsidP="007657B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="00554304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 w:rsidR="00C52F25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F25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контрагента </w:t>
      </w:r>
      <w:r w:rsidR="00417070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 оборота товаров, подлежащих прослеживаемости </w:t>
      </w:r>
      <w:r w:rsidR="00C8309E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52F25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юридического лица</w:t>
      </w:r>
      <w:r w:rsidR="00C6188C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наименование представительства (филиала) иностранной организации, иного обособленного подразделения, осуществляющего деятельность на территории Российской Федерации, либо фамилия, имя, отчество</w:t>
      </w:r>
      <w:r w:rsidR="003655D6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</w:t>
      </w:r>
      <w:r w:rsidR="003655D6" w:rsidRPr="00BB2F4D">
        <w:rPr>
          <w:rStyle w:val="ad"/>
          <w:rFonts w:ascii="Times New Roman" w:hAnsi="Times New Roman" w:cs="Times New Roman"/>
          <w:color w:val="000000" w:themeColor="text1"/>
          <w:sz w:val="28"/>
          <w:szCs w:val="28"/>
          <w:vertAlign w:val="baseline"/>
        </w:rPr>
        <w:t>)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физического лица</w:t>
      </w:r>
      <w:r w:rsidR="00A83E2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97D54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поставленного на учет </w:t>
      </w:r>
      <w:r w:rsidR="00A83E2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индивидуального предпринимателя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которому передается право </w:t>
      </w:r>
      <w:r w:rsidR="00C767C2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 на товары</w:t>
      </w:r>
      <w:r w:rsidR="00C6188C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подлежащи</w:t>
      </w:r>
      <w:r w:rsidR="00C767C2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6188C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прослеживаемости</w:t>
      </w:r>
      <w:r w:rsidR="00C52F25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, в случае передачи, или который передает право собственности на товары</w:t>
      </w:r>
      <w:proofErr w:type="gramEnd"/>
      <w:r w:rsidR="00C52F25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приемки</w:t>
      </w:r>
      <w:r w:rsidR="006B0C26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83226BF" w14:textId="3B0FF29B" w:rsidR="000E0900" w:rsidRPr="00BB2F4D" w:rsidRDefault="000E0900" w:rsidP="007657B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="00554304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C8309E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идентификационный номер налогоплательщика </w:t>
      </w:r>
      <w:r w:rsidR="00C8309E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070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 оборота товар</w:t>
      </w:r>
      <w:r w:rsidR="004E5D1A">
        <w:rPr>
          <w:rFonts w:ascii="Times New Roman" w:hAnsi="Times New Roman" w:cs="Times New Roman"/>
          <w:color w:val="000000" w:themeColor="text1"/>
          <w:sz w:val="28"/>
          <w:szCs w:val="28"/>
        </w:rPr>
        <w:t>ов, подлежащих прослеживаемости</w:t>
      </w:r>
      <w:r w:rsidR="00417070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309E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17070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лица, представительства (филиала) иностранной организации, иного обособленного подразделения, осуществляющего деятельность на территории Российской Федерации, или физического лица</w:t>
      </w:r>
      <w:r w:rsidR="00A83E2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97D54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поставленного на учет </w:t>
      </w:r>
      <w:r w:rsidR="00A83E2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индивидуального предпринимателя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17070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которому передается право собственности на товары, подлежащие прослеживаемости, в случае передачи, или который передает право собственности на товары в случае приемки</w:t>
      </w:r>
      <w:r w:rsidR="006B0C26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14:paraId="4705382A" w14:textId="38E5D2FD" w:rsidR="00B84723" w:rsidRPr="00BB2F4D" w:rsidRDefault="00B84723" w:rsidP="007657B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="00554304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– код причины постановки на учет юридического лица, представительства (филиала) иностранной организации, иного обособленного подразделения, осуществляющего деятельность на территории Российской Федерации</w:t>
      </w:r>
      <w:r w:rsidR="00C767C2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C767C2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которому</w:t>
      </w:r>
      <w:proofErr w:type="gramEnd"/>
      <w:r w:rsidR="00C767C2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передается </w:t>
      </w:r>
      <w:r w:rsidR="00087D03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(который передает) </w:t>
      </w:r>
      <w:r w:rsidR="00C767C2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право собственности на товары, подлежащие прослеживаемости</w:t>
      </w:r>
      <w:r w:rsidR="00505FE2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. При отсутствии данных данная строка не заполняется</w:t>
      </w:r>
      <w:r w:rsidR="006B0C26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60E057E" w14:textId="5B0EF8D2" w:rsidR="00867057" w:rsidRPr="00BB2F4D" w:rsidRDefault="00B12567" w:rsidP="007657B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="005E69FF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DF0999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регистрационный номер партии товар</w:t>
      </w:r>
      <w:r w:rsidR="000C6664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а, подлежащего прослеживаемости</w:t>
      </w:r>
      <w:r w:rsidR="006B0C26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2F57C6E" w14:textId="240C52AD" w:rsidR="00867057" w:rsidRPr="00BB2F4D" w:rsidRDefault="00B12567" w:rsidP="007657B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="005E69FF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309E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54304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единица количественного учета товара (код) в соответствии с Перечнем товаров, подлежащих прослеживаемости на </w:t>
      </w:r>
      <w:r w:rsidR="00554304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территории Российской Федерации (далее – Перечень), утверждаемым постановлением Правительства Российской Федерации, согласно Общероссийскому классификатору единиц измерения (ОКЕИ), принятому и введенному в действие постановлением </w:t>
      </w:r>
      <w:proofErr w:type="spellStart"/>
      <w:r w:rsidR="00554304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Госст</w:t>
      </w:r>
      <w:r w:rsidR="00E7107A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рандарта</w:t>
      </w:r>
      <w:proofErr w:type="spellEnd"/>
      <w:r w:rsidR="00E7107A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26.12.1994 № </w:t>
      </w:r>
      <w:r w:rsidR="00554304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366;</w:t>
      </w:r>
    </w:p>
    <w:p w14:paraId="496B0153" w14:textId="77777777" w:rsidR="005E69FF" w:rsidRPr="00BB2F4D" w:rsidRDefault="00027C6E" w:rsidP="007657B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12567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графе </w:t>
      </w:r>
      <w:r w:rsidR="005E69FF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B12567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304422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4304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товара, подлежащего прослеживаемости в единицах количественного учета товаров в соответствии с Перечнем, утверждаемым постановлением Правительства Российской Федерации</w:t>
      </w:r>
    </w:p>
    <w:p w14:paraId="1B2B623F" w14:textId="283DA43D" w:rsidR="005E69FF" w:rsidRPr="00BB2F4D" w:rsidRDefault="005E69FF" w:rsidP="007657B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13 </w:t>
      </w:r>
      <w:r w:rsidR="00C8309E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19FF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стоимость товаров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подлежащих прослеживаемости, без налога на добавленную стоимость, указываемая отдельно по каждому</w:t>
      </w:r>
      <w:r w:rsidR="00EB57F9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регистрационному номеру партии товара, подлежащего </w:t>
      </w:r>
      <w:r w:rsidR="00B419FF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прослеживаемости, указанному</w:t>
      </w:r>
      <w:r w:rsidR="00EB57F9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в со</w:t>
      </w:r>
      <w:r w:rsidR="00EB57F9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ответствующей подстроке графы 10 отчета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ABD44CD" w14:textId="77777777" w:rsidR="00900AA0" w:rsidRPr="00BB2F4D" w:rsidRDefault="00900AA0" w:rsidP="00E7107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D54FC7" w14:textId="53C5C5AC" w:rsidR="00E7107A" w:rsidRPr="00BB2F4D" w:rsidRDefault="00812D7C" w:rsidP="00E7107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BB2F4D" w:rsidRPr="00BB2F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5A7024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6088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A7024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аполнени</w:t>
      </w:r>
      <w:r w:rsidR="00C6088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A7024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</w:t>
      </w:r>
      <w:r w:rsidR="00A83E2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подтверждающего </w:t>
      </w:r>
      <w:r w:rsidR="00B419FF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достоверность </w:t>
      </w:r>
    </w:p>
    <w:p w14:paraId="212275BE" w14:textId="640D208D" w:rsidR="003655D6" w:rsidRPr="00BB2F4D" w:rsidRDefault="00B419FF" w:rsidP="00E7107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83E2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полноту сведений, указанных в </w:t>
      </w:r>
      <w:r w:rsidR="00954F5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00AA0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тчете</w:t>
      </w:r>
    </w:p>
    <w:p w14:paraId="5FD2937F" w14:textId="77777777" w:rsidR="00B419FF" w:rsidRPr="00BB2F4D" w:rsidRDefault="00B419FF" w:rsidP="00E7107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DCC1CB" w14:textId="0D7CB7AE" w:rsidR="003655D6" w:rsidRPr="00BB2F4D" w:rsidRDefault="003655D6" w:rsidP="007657B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9" w:history="1">
        <w:r w:rsidRPr="00BB2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</w:t>
        </w:r>
      </w:hyperlink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3E3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Достоверность и полноту сведений, указанных в настоящем уведомлении, подтверждаю</w:t>
      </w:r>
      <w:r w:rsidR="00A03E3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419FF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«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419FF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309E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</w:t>
      </w:r>
      <w:r w:rsidR="00223F1A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отчет представлен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участником оборота товаров, подлежащих прослеживаемости, на которого в соответствии с </w:t>
      </w:r>
      <w:r w:rsidR="00531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положениями постановления Правительства Российской Федерации о порядке </w:t>
      </w:r>
      <w:r w:rsidR="005318C1" w:rsidRPr="00BC37C9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функционирования</w:t>
      </w:r>
      <w:r w:rsidR="005318C1" w:rsidRPr="008E1778">
        <w:rPr>
          <w:rFonts w:ascii="Times New Roman" w:hAnsi="Times New Roman" w:cs="Times New Roman"/>
          <w:sz w:val="28"/>
          <w:szCs w:val="28"/>
        </w:rPr>
        <w:t xml:space="preserve"> </w:t>
      </w:r>
      <w:r w:rsidR="005318C1">
        <w:rPr>
          <w:rFonts w:ascii="Times New Roman" w:hAnsi="Times New Roman" w:cs="Times New Roman"/>
          <w:sz w:val="28"/>
          <w:szCs w:val="28"/>
        </w:rPr>
        <w:t xml:space="preserve">национальной </w:t>
      </w:r>
      <w:r w:rsidR="005318C1" w:rsidRPr="008E1778">
        <w:rPr>
          <w:rFonts w:ascii="Times New Roman" w:hAnsi="Times New Roman" w:cs="Times New Roman"/>
          <w:sz w:val="28"/>
          <w:szCs w:val="28"/>
        </w:rPr>
        <w:t>систем</w:t>
      </w:r>
      <w:r w:rsidR="005318C1">
        <w:rPr>
          <w:rFonts w:ascii="Times New Roman" w:hAnsi="Times New Roman" w:cs="Times New Roman"/>
          <w:sz w:val="28"/>
          <w:szCs w:val="28"/>
        </w:rPr>
        <w:t>ы</w:t>
      </w:r>
      <w:r w:rsidR="005318C1" w:rsidRPr="008E1778">
        <w:rPr>
          <w:rFonts w:ascii="Times New Roman" w:hAnsi="Times New Roman" w:cs="Times New Roman"/>
          <w:sz w:val="28"/>
          <w:szCs w:val="28"/>
        </w:rPr>
        <w:t xml:space="preserve"> прослеж</w:t>
      </w:r>
      <w:r w:rsidR="005318C1">
        <w:rPr>
          <w:rFonts w:ascii="Times New Roman" w:hAnsi="Times New Roman" w:cs="Times New Roman"/>
          <w:sz w:val="28"/>
          <w:szCs w:val="28"/>
        </w:rPr>
        <w:t>иваемости товаров</w:t>
      </w:r>
      <w:r w:rsidR="00223F1A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возложена обязанность по представлению</w:t>
      </w:r>
      <w:r w:rsidR="00B419FF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</w:t>
      </w:r>
      <w:r w:rsidR="00581BE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419FF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419FF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309E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</w:t>
      </w:r>
      <w:r w:rsidR="00223F1A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отчет представлен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представителем участника оборота товаров, подлежащих прослеживаемости.</w:t>
      </w:r>
      <w:proofErr w:type="gramEnd"/>
    </w:p>
    <w:p w14:paraId="1A857634" w14:textId="4069D3C4" w:rsidR="003655D6" w:rsidRPr="00BB2F4D" w:rsidRDefault="003655D6" w:rsidP="00765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указания признака </w:t>
      </w:r>
      <w:r w:rsidR="00A03E3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419FF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1» в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полях </w:t>
      </w:r>
      <w:r w:rsidR="00A03E3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Фамилия</w:t>
      </w:r>
      <w:r w:rsidR="00A03E3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3E3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Имя</w:t>
      </w:r>
      <w:r w:rsidR="00A03E3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3E3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Отчество</w:t>
      </w:r>
      <w:r w:rsidR="00A03E3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построчно полностью фамилия, имя и отчество (при наличии) руководителя организации (физического лица, поставленного на учет в качестве</w:t>
      </w:r>
      <w:r w:rsidRPr="00BB2F4D" w:rsidDel="009D0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индивидуального предпринимателя) </w:t>
      </w:r>
      <w:r w:rsidR="00C8309E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 оборота товаров, подлежащих прослеживаемости.</w:t>
      </w:r>
    </w:p>
    <w:p w14:paraId="0D146835" w14:textId="6DDAEBDD" w:rsidR="003655D6" w:rsidRPr="00BB2F4D" w:rsidRDefault="003655D6" w:rsidP="00765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указания признака </w:t>
      </w:r>
      <w:r w:rsidR="00A03E3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3E3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полях </w:t>
      </w:r>
      <w:r w:rsidR="00A03E3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Фамилия</w:t>
      </w:r>
      <w:r w:rsidR="00A03E3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3E3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Имя</w:t>
      </w:r>
      <w:r w:rsidR="00A03E3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3E3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Отчество</w:t>
      </w:r>
      <w:r w:rsidR="00A03E3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построчно полностью фамилия, имя и отчество физического лица</w:t>
      </w:r>
      <w:r w:rsidR="004E5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8309E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полномоченного </w:t>
      </w:r>
      <w:r w:rsidR="00746AAA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 участника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оборота товаров, подлежащих прослеживаемости.</w:t>
      </w:r>
    </w:p>
    <w:p w14:paraId="62EE7F63" w14:textId="0D635C77" w:rsidR="003655D6" w:rsidRPr="00BB2F4D" w:rsidRDefault="003655D6" w:rsidP="00765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223F1A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отчет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представляется представителем участника оборота товаров, подлежащих прослеживаемости, то заполняется </w:t>
      </w:r>
      <w:r w:rsidR="00746AAA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поле «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и реквизиты документа, подтверждающего полномочия представителя </w:t>
      </w:r>
      <w:r w:rsidR="00223F1A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 оборота товаров, подлежащих прослеживаемости</w:t>
      </w:r>
      <w:r w:rsidR="00A03E3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299D367" w14:textId="26317B9F" w:rsidR="003655D6" w:rsidRPr="00BB2F4D" w:rsidRDefault="003655D6" w:rsidP="00765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0" w:history="1">
        <w:r w:rsidRPr="00BB2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3E3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и реквизиты документа, подтверждающего полномочия представителя </w:t>
      </w:r>
      <w:r w:rsidR="00556D28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 оборота товаров, подлежащих прослеживаемости</w:t>
      </w:r>
      <w:r w:rsidR="00A03E3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вид и реквизиты документа, подтверждающего полномочия представителя </w:t>
      </w:r>
      <w:r w:rsidR="00556D28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 оборота товаров, подлежащих прослеживаемости, 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удостоверять достоверность и полноту сведений, указанных в</w:t>
      </w:r>
      <w:r w:rsidR="00556D28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отчете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BBDBC9B" w14:textId="5F5EBA76" w:rsidR="00D7301D" w:rsidRPr="00BB2F4D" w:rsidRDefault="00D7301D" w:rsidP="00765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поле «Наименование организации-представителя участника оборота товаров, подлежащих прослеживаемости» указывается наименование 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юридического лица </w:t>
      </w:r>
      <w:r w:rsidR="004E5D1A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уполномоченного представителя участника оборота товаров, подлежащих прослеживаемости.</w:t>
      </w:r>
    </w:p>
    <w:p w14:paraId="1AEBC151" w14:textId="62D73481" w:rsidR="00556D28" w:rsidRPr="00BB2F4D" w:rsidRDefault="003655D6" w:rsidP="00765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форма представляется в электронном виде по телекоммуникационным каналам связи через оператора электронного документооборота и подписывается электронной подписью. В поле </w:t>
      </w:r>
      <w:r w:rsidR="00A03E3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  <w:r w:rsidR="00A03E31"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B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дата подписания. </w:t>
      </w:r>
    </w:p>
    <w:p w14:paraId="19E0FD91" w14:textId="6163FA58" w:rsidR="00556D28" w:rsidRPr="00A03E31" w:rsidRDefault="00556D28" w:rsidP="00A03E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387EB78" w14:textId="77777777" w:rsidR="008067B4" w:rsidRPr="00A03E31" w:rsidRDefault="008067B4" w:rsidP="00A03E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8067B4" w:rsidRPr="00A03E31" w:rsidSect="007657BD">
          <w:headerReference w:type="default" r:id="rId11"/>
          <w:footerReference w:type="default" r:id="rId12"/>
          <w:footerReference w:type="first" r:id="rId13"/>
          <w:footnotePr>
            <w:numRestart w:val="eachPage"/>
          </w:footnotePr>
          <w:pgSz w:w="11906" w:h="16838"/>
          <w:pgMar w:top="851" w:right="851" w:bottom="794" w:left="1418" w:header="709" w:footer="709" w:gutter="0"/>
          <w:cols w:space="708"/>
          <w:titlePg/>
          <w:docGrid w:linePitch="360"/>
        </w:sectPr>
      </w:pPr>
    </w:p>
    <w:p w14:paraId="676008F2" w14:textId="2B1FFD06" w:rsidR="00DF41A9" w:rsidRPr="00E7107A" w:rsidRDefault="00DF41A9" w:rsidP="00E7107A">
      <w:pPr>
        <w:pStyle w:val="ConsPlusNormal"/>
        <w:ind w:left="992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7107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03E31" w:rsidRPr="00E7107A">
        <w:rPr>
          <w:rFonts w:ascii="Times New Roman" w:hAnsi="Times New Roman" w:cs="Times New Roman"/>
          <w:sz w:val="24"/>
          <w:szCs w:val="24"/>
        </w:rPr>
        <w:t>№</w:t>
      </w:r>
      <w:r w:rsidRPr="00E7107A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51946CA4" w14:textId="6EDA0795" w:rsidR="00DF41A9" w:rsidRPr="00E7107A" w:rsidRDefault="00DF41A9" w:rsidP="00E7107A">
      <w:pPr>
        <w:pStyle w:val="ConsPlusNormal"/>
        <w:ind w:left="9923"/>
        <w:jc w:val="both"/>
        <w:rPr>
          <w:rFonts w:ascii="Times New Roman" w:hAnsi="Times New Roman" w:cs="Times New Roman"/>
          <w:sz w:val="24"/>
          <w:szCs w:val="24"/>
        </w:rPr>
      </w:pPr>
      <w:r w:rsidRPr="00E7107A">
        <w:rPr>
          <w:rFonts w:ascii="Times New Roman" w:hAnsi="Times New Roman" w:cs="Times New Roman"/>
          <w:sz w:val="24"/>
          <w:szCs w:val="24"/>
        </w:rPr>
        <w:t xml:space="preserve">к Порядку заполнения </w:t>
      </w:r>
      <w:r w:rsidR="00264980" w:rsidRPr="00E7107A">
        <w:rPr>
          <w:rFonts w:ascii="Times New Roman" w:hAnsi="Times New Roman" w:cs="Times New Roman"/>
          <w:sz w:val="24"/>
          <w:szCs w:val="24"/>
        </w:rPr>
        <w:t xml:space="preserve">отчета об операциях </w:t>
      </w:r>
      <w:r w:rsidR="00E7107A">
        <w:rPr>
          <w:rFonts w:ascii="Times New Roman" w:hAnsi="Times New Roman" w:cs="Times New Roman"/>
          <w:sz w:val="24"/>
          <w:szCs w:val="24"/>
        </w:rPr>
        <w:t>с </w:t>
      </w:r>
      <w:r w:rsidR="00264980" w:rsidRPr="00E7107A">
        <w:rPr>
          <w:rFonts w:ascii="Times New Roman" w:hAnsi="Times New Roman" w:cs="Times New Roman"/>
          <w:sz w:val="24"/>
          <w:szCs w:val="24"/>
        </w:rPr>
        <w:t>товарами, подлежащими прослеживаемости</w:t>
      </w:r>
    </w:p>
    <w:p w14:paraId="4618C18B" w14:textId="77777777" w:rsidR="00DF41A9" w:rsidRPr="00273B5A" w:rsidRDefault="00DF41A9" w:rsidP="00B04A21">
      <w:pPr>
        <w:pStyle w:val="ConsPlusNormal"/>
        <w:spacing w:before="120" w:after="120"/>
        <w:rPr>
          <w:rFonts w:ascii="Times New Roman" w:hAnsi="Times New Roman" w:cs="Times New Roman"/>
          <w:sz w:val="28"/>
          <w:szCs w:val="28"/>
        </w:rPr>
      </w:pPr>
    </w:p>
    <w:p w14:paraId="3EC5D5E7" w14:textId="77777777" w:rsidR="00DF41A9" w:rsidRPr="00273B5A" w:rsidRDefault="00DF41A9" w:rsidP="0017095B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273B5A">
        <w:rPr>
          <w:rFonts w:ascii="Times New Roman" w:hAnsi="Times New Roman" w:cs="Times New Roman"/>
          <w:sz w:val="28"/>
          <w:szCs w:val="28"/>
        </w:rPr>
        <w:t xml:space="preserve">ВИДЫ ОПЕРАЦИЙ С </w:t>
      </w:r>
      <w:r w:rsidR="00B47996" w:rsidRPr="00273B5A">
        <w:rPr>
          <w:rFonts w:ascii="Times New Roman" w:hAnsi="Times New Roman" w:cs="Times New Roman"/>
          <w:sz w:val="28"/>
          <w:szCs w:val="28"/>
        </w:rPr>
        <w:t>ТОВАРА</w:t>
      </w:r>
      <w:r w:rsidRPr="00273B5A">
        <w:rPr>
          <w:rFonts w:ascii="Times New Roman" w:hAnsi="Times New Roman" w:cs="Times New Roman"/>
          <w:sz w:val="28"/>
          <w:szCs w:val="28"/>
        </w:rPr>
        <w:t>М</w:t>
      </w:r>
      <w:r w:rsidR="00B47996" w:rsidRPr="00273B5A">
        <w:rPr>
          <w:rFonts w:ascii="Times New Roman" w:hAnsi="Times New Roman" w:cs="Times New Roman"/>
          <w:sz w:val="28"/>
          <w:szCs w:val="28"/>
        </w:rPr>
        <w:t>И, ПОДЛЕЖАЩИМИ ПРОСЛЕЖИВАЕМОСТИ</w:t>
      </w:r>
    </w:p>
    <w:p w14:paraId="46ABC1AE" w14:textId="77777777" w:rsidR="00A84461" w:rsidRPr="00273B5A" w:rsidRDefault="00A84461" w:rsidP="00B04A21">
      <w:pPr>
        <w:pStyle w:val="ConsPlusNormal"/>
        <w:spacing w:before="120" w:after="120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1422"/>
        <w:gridCol w:w="53"/>
        <w:gridCol w:w="4473"/>
        <w:gridCol w:w="5670"/>
        <w:gridCol w:w="3544"/>
      </w:tblGrid>
      <w:tr w:rsidR="00D7301D" w:rsidRPr="00D7301D" w14:paraId="4EBB7FEF" w14:textId="77777777" w:rsidTr="00017746">
        <w:trPr>
          <w:trHeight w:val="577"/>
          <w:tblHeader/>
        </w:trPr>
        <w:tc>
          <w:tcPr>
            <w:tcW w:w="1428" w:type="dxa"/>
            <w:gridSpan w:val="2"/>
            <w:shd w:val="clear" w:color="auto" w:fill="auto"/>
            <w:vAlign w:val="center"/>
            <w:hideMark/>
          </w:tcPr>
          <w:p w14:paraId="240174E3" w14:textId="77777777" w:rsidR="00D7301D" w:rsidRPr="00D7301D" w:rsidRDefault="00D7301D" w:rsidP="007657B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b/>
                <w:sz w:val="28"/>
                <w:szCs w:val="28"/>
              </w:rPr>
              <w:t>Код операции</w:t>
            </w:r>
          </w:p>
        </w:tc>
        <w:tc>
          <w:tcPr>
            <w:tcW w:w="4526" w:type="dxa"/>
            <w:gridSpan w:val="2"/>
            <w:vAlign w:val="center"/>
          </w:tcPr>
          <w:p w14:paraId="66EDE215" w14:textId="77777777" w:rsidR="00D7301D" w:rsidRPr="00D7301D" w:rsidRDefault="00D7301D" w:rsidP="007657B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операции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4F07339E" w14:textId="77777777" w:rsidR="00D7301D" w:rsidRPr="00D7301D" w:rsidRDefault="00D7301D" w:rsidP="007657B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b/>
                <w:sz w:val="28"/>
                <w:szCs w:val="28"/>
              </w:rPr>
              <w:t>Условие</w:t>
            </w:r>
          </w:p>
        </w:tc>
        <w:tc>
          <w:tcPr>
            <w:tcW w:w="3544" w:type="dxa"/>
            <w:vAlign w:val="center"/>
          </w:tcPr>
          <w:p w14:paraId="62541521" w14:textId="77777777" w:rsidR="00D7301D" w:rsidRPr="00D7301D" w:rsidRDefault="00D7301D" w:rsidP="007657B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7301D" w:rsidRPr="00D7301D" w14:paraId="34A4FD72" w14:textId="77777777" w:rsidTr="00017746">
        <w:trPr>
          <w:trHeight w:val="365"/>
        </w:trPr>
        <w:tc>
          <w:tcPr>
            <w:tcW w:w="15168" w:type="dxa"/>
            <w:gridSpan w:val="6"/>
            <w:vAlign w:val="center"/>
          </w:tcPr>
          <w:p w14:paraId="0A27D1B7" w14:textId="77777777" w:rsidR="00D7301D" w:rsidRPr="00D7301D" w:rsidRDefault="00D7301D" w:rsidP="007657B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b/>
                <w:sz w:val="28"/>
                <w:szCs w:val="28"/>
              </w:rPr>
              <w:t>Операции прекращения прослеживаемости</w:t>
            </w:r>
          </w:p>
        </w:tc>
      </w:tr>
      <w:tr w:rsidR="00D7301D" w:rsidRPr="00D7301D" w14:paraId="4882C630" w14:textId="77777777" w:rsidTr="00017746">
        <w:trPr>
          <w:trHeight w:val="283"/>
        </w:trPr>
        <w:tc>
          <w:tcPr>
            <w:tcW w:w="1428" w:type="dxa"/>
            <w:gridSpan w:val="2"/>
            <w:shd w:val="clear" w:color="auto" w:fill="auto"/>
            <w:noWrap/>
            <w:vAlign w:val="center"/>
            <w:hideMark/>
          </w:tcPr>
          <w:p w14:paraId="389BDF72" w14:textId="77777777" w:rsidR="00D7301D" w:rsidRPr="00D7301D" w:rsidRDefault="00D7301D" w:rsidP="007657B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526" w:type="dxa"/>
            <w:gridSpan w:val="2"/>
            <w:vAlign w:val="center"/>
          </w:tcPr>
          <w:p w14:paraId="4ED7FADF" w14:textId="69605A90" w:rsidR="00D7301D" w:rsidRPr="00DA557F" w:rsidRDefault="00D7301D" w:rsidP="00D7301D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7F">
              <w:rPr>
                <w:rFonts w:ascii="Times New Roman" w:hAnsi="Times New Roman" w:cs="Times New Roman"/>
                <w:sz w:val="28"/>
                <w:szCs w:val="28"/>
              </w:rPr>
              <w:t>Передача товара, подлежащих прослеживаемости, в производство</w:t>
            </w:r>
            <w:r w:rsidR="00024CE1">
              <w:rPr>
                <w:rFonts w:ascii="Times New Roman" w:hAnsi="Times New Roman" w:cs="Times New Roman"/>
                <w:sz w:val="28"/>
                <w:szCs w:val="28"/>
              </w:rPr>
              <w:t xml:space="preserve"> и (или) на переработку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EC00A69" w14:textId="442FAD21" w:rsidR="00D7301D" w:rsidRPr="00DA557F" w:rsidRDefault="00D7301D" w:rsidP="00D7301D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7F">
              <w:rPr>
                <w:rFonts w:ascii="Times New Roman" w:hAnsi="Times New Roman" w:cs="Times New Roman"/>
                <w:sz w:val="28"/>
                <w:szCs w:val="28"/>
              </w:rPr>
              <w:t xml:space="preserve">Для всех </w:t>
            </w:r>
            <w:r w:rsidR="00205B09" w:rsidRPr="00DA557F">
              <w:rPr>
                <w:rFonts w:ascii="Times New Roman" w:hAnsi="Times New Roman" w:cs="Times New Roman"/>
                <w:sz w:val="28"/>
                <w:szCs w:val="28"/>
              </w:rPr>
              <w:t>участников оборота товаров, подлежащих прослеживаемости</w:t>
            </w:r>
          </w:p>
        </w:tc>
        <w:tc>
          <w:tcPr>
            <w:tcW w:w="3544" w:type="dxa"/>
            <w:vAlign w:val="center"/>
          </w:tcPr>
          <w:p w14:paraId="385C5056" w14:textId="77777777" w:rsidR="00D7301D" w:rsidRPr="00D7301D" w:rsidRDefault="00D7301D" w:rsidP="007657B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1D" w:rsidRPr="00D7301D" w14:paraId="4195320E" w14:textId="77777777" w:rsidTr="00017746">
        <w:trPr>
          <w:trHeight w:val="274"/>
        </w:trPr>
        <w:tc>
          <w:tcPr>
            <w:tcW w:w="1428" w:type="dxa"/>
            <w:gridSpan w:val="2"/>
            <w:shd w:val="clear" w:color="auto" w:fill="auto"/>
            <w:noWrap/>
            <w:vAlign w:val="center"/>
          </w:tcPr>
          <w:p w14:paraId="5BF9FC33" w14:textId="77777777" w:rsidR="00D7301D" w:rsidRPr="00D7301D" w:rsidRDefault="00D7301D" w:rsidP="007657B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526" w:type="dxa"/>
            <w:gridSpan w:val="2"/>
            <w:vAlign w:val="center"/>
          </w:tcPr>
          <w:p w14:paraId="204D056C" w14:textId="77777777" w:rsidR="00D7301D" w:rsidRPr="00D7301D" w:rsidRDefault="00D7301D" w:rsidP="00D7301D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>Захоронение, обезвреживание, утилизация или уничтожение товара, подлежащего прослеживаемости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5D5D25B" w14:textId="315643D1" w:rsidR="00D7301D" w:rsidRPr="00DA557F" w:rsidRDefault="00205B09" w:rsidP="00D7301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7F">
              <w:rPr>
                <w:rFonts w:ascii="Times New Roman" w:hAnsi="Times New Roman" w:cs="Times New Roman"/>
                <w:sz w:val="28"/>
                <w:szCs w:val="28"/>
              </w:rPr>
              <w:t>Для всех участников оборота товаров, подлежащих прослеживаемости</w:t>
            </w:r>
          </w:p>
        </w:tc>
        <w:tc>
          <w:tcPr>
            <w:tcW w:w="3544" w:type="dxa"/>
            <w:vAlign w:val="center"/>
          </w:tcPr>
          <w:p w14:paraId="36F3C9E5" w14:textId="77777777" w:rsidR="00D7301D" w:rsidRPr="00D7301D" w:rsidRDefault="00D7301D" w:rsidP="007657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1D" w:rsidRPr="00D7301D" w14:paraId="73F85B08" w14:textId="77777777" w:rsidTr="00017746">
        <w:trPr>
          <w:trHeight w:val="419"/>
        </w:trPr>
        <w:tc>
          <w:tcPr>
            <w:tcW w:w="1428" w:type="dxa"/>
            <w:gridSpan w:val="2"/>
            <w:shd w:val="clear" w:color="auto" w:fill="auto"/>
            <w:noWrap/>
            <w:vAlign w:val="center"/>
          </w:tcPr>
          <w:p w14:paraId="13AE1117" w14:textId="77777777" w:rsidR="00D7301D" w:rsidRPr="00D7301D" w:rsidRDefault="00D7301D" w:rsidP="007657B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526" w:type="dxa"/>
            <w:gridSpan w:val="2"/>
            <w:vAlign w:val="center"/>
          </w:tcPr>
          <w:p w14:paraId="17D25635" w14:textId="77777777" w:rsidR="00D7301D" w:rsidRPr="00D7301D" w:rsidRDefault="00D7301D" w:rsidP="00D7301D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>Уничтожение или безвозвратная утрата товара, подлежащего прослеживаемости, вследствие действия непреодолимой силы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B41E13A" w14:textId="6E87D060" w:rsidR="00D7301D" w:rsidRPr="00DA557F" w:rsidRDefault="00205B09" w:rsidP="00D7301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7F">
              <w:rPr>
                <w:rFonts w:ascii="Times New Roman" w:hAnsi="Times New Roman" w:cs="Times New Roman"/>
                <w:sz w:val="28"/>
                <w:szCs w:val="28"/>
              </w:rPr>
              <w:t>Для всех участников оборота товаров, подлежащих прослеживаемости</w:t>
            </w:r>
          </w:p>
        </w:tc>
        <w:tc>
          <w:tcPr>
            <w:tcW w:w="3544" w:type="dxa"/>
            <w:vAlign w:val="center"/>
          </w:tcPr>
          <w:p w14:paraId="296A7432" w14:textId="77777777" w:rsidR="00D7301D" w:rsidRPr="00D7301D" w:rsidRDefault="00D7301D" w:rsidP="007657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1D" w:rsidRPr="00D7301D" w14:paraId="1DF45F1F" w14:textId="77777777" w:rsidTr="00017746">
        <w:trPr>
          <w:trHeight w:val="327"/>
        </w:trPr>
        <w:tc>
          <w:tcPr>
            <w:tcW w:w="1428" w:type="dxa"/>
            <w:gridSpan w:val="2"/>
            <w:shd w:val="clear" w:color="auto" w:fill="auto"/>
            <w:noWrap/>
            <w:vAlign w:val="center"/>
          </w:tcPr>
          <w:p w14:paraId="19C93CF1" w14:textId="77777777" w:rsidR="00D7301D" w:rsidRPr="00D7301D" w:rsidRDefault="00D7301D" w:rsidP="007657B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526" w:type="dxa"/>
            <w:gridSpan w:val="2"/>
            <w:vAlign w:val="center"/>
          </w:tcPr>
          <w:p w14:paraId="5833A6EA" w14:textId="1495CE27" w:rsidR="00D7301D" w:rsidRPr="00D7301D" w:rsidRDefault="00D7301D" w:rsidP="00D7301D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>Реализация товара,</w:t>
            </w:r>
            <w:r w:rsidR="004E5D1A">
              <w:rPr>
                <w:rFonts w:ascii="Times New Roman" w:hAnsi="Times New Roman" w:cs="Times New Roman"/>
                <w:sz w:val="28"/>
                <w:szCs w:val="28"/>
              </w:rPr>
              <w:t xml:space="preserve"> подлежащего прослеживаемости, </w:t>
            </w: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 xml:space="preserve">в розничной торговле физическим </w:t>
            </w:r>
            <w:r w:rsidRPr="00D7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лицам для личных, семейных, домашних и иных, не связанных с предпринимательской деятельностью, нужд, а также налогоплательщикам налога на профессиональный доход</w:t>
            </w:r>
          </w:p>
          <w:p w14:paraId="50975625" w14:textId="77777777" w:rsidR="00D7301D" w:rsidRPr="00D7301D" w:rsidRDefault="00D7301D" w:rsidP="00D7301D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8D09BF0" w14:textId="3792B6B1" w:rsidR="00D7301D" w:rsidRPr="00D7301D" w:rsidRDefault="00C875B3" w:rsidP="00D7301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участников</w:t>
            </w:r>
            <w:r w:rsidRPr="00C362A7">
              <w:rPr>
                <w:rFonts w:ascii="Times New Roman" w:hAnsi="Times New Roman" w:cs="Times New Roman"/>
                <w:sz w:val="28"/>
                <w:szCs w:val="28"/>
              </w:rPr>
              <w:t xml:space="preserve"> оборота товаров, подле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жащих прослеживаемости, являющих</w:t>
            </w:r>
            <w:r w:rsidRPr="00C362A7">
              <w:rPr>
                <w:rFonts w:ascii="Times New Roman" w:hAnsi="Times New Roman" w:cs="Times New Roman"/>
                <w:sz w:val="28"/>
                <w:szCs w:val="28"/>
              </w:rPr>
              <w:t xml:space="preserve">ся налогоплательщиками налога </w:t>
            </w:r>
            <w:r w:rsidRPr="00C36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добавленную стоимость, освобожденными от исполнения обязанностей налогоплательщика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налога на добавленную стоимость,  участников</w:t>
            </w:r>
            <w:r w:rsidRPr="00C362A7">
              <w:rPr>
                <w:rFonts w:ascii="Times New Roman" w:hAnsi="Times New Roman" w:cs="Times New Roman"/>
                <w:sz w:val="28"/>
                <w:szCs w:val="28"/>
              </w:rPr>
              <w:t xml:space="preserve"> оборота товаров, подлежащ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прослеживаемости, применяющих</w:t>
            </w:r>
            <w:r w:rsidRPr="00C362A7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специальные налоговые режимы (за исключением системы налогообложения для сельскохозяйственных товаропроизводителей (единый сельскохозяйственный налог)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01D" w:rsidRPr="00D7301D">
              <w:rPr>
                <w:rFonts w:ascii="Times New Roman" w:hAnsi="Times New Roman" w:cs="Times New Roman"/>
                <w:sz w:val="28"/>
                <w:szCs w:val="28"/>
              </w:rPr>
              <w:t>(далее – участники оборота товаров, подлежащих прослеживаемости, применяющие специальные налоговые режимы, а также освобожденные от исполнения обязанностей налогоплательщика налога на добавленную</w:t>
            </w:r>
            <w:proofErr w:type="gramEnd"/>
            <w:r w:rsidR="00D7301D" w:rsidRPr="00D7301D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стоимость)</w:t>
            </w:r>
          </w:p>
        </w:tc>
        <w:tc>
          <w:tcPr>
            <w:tcW w:w="3544" w:type="dxa"/>
            <w:vAlign w:val="center"/>
          </w:tcPr>
          <w:p w14:paraId="55FB1F80" w14:textId="77777777" w:rsidR="00D7301D" w:rsidRPr="00D7301D" w:rsidRDefault="00D7301D" w:rsidP="007657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1D" w:rsidRPr="00D7301D" w14:paraId="757097D8" w14:textId="77777777" w:rsidTr="00A2144F">
        <w:trPr>
          <w:gridBefore w:val="1"/>
          <w:wBefore w:w="6" w:type="dxa"/>
          <w:trHeight w:val="547"/>
        </w:trPr>
        <w:tc>
          <w:tcPr>
            <w:tcW w:w="1422" w:type="dxa"/>
            <w:shd w:val="clear" w:color="auto" w:fill="auto"/>
            <w:noWrap/>
            <w:vAlign w:val="center"/>
          </w:tcPr>
          <w:p w14:paraId="42F1F823" w14:textId="77777777" w:rsidR="00D7301D" w:rsidRPr="00D7301D" w:rsidRDefault="00D7301D" w:rsidP="007657B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4526" w:type="dxa"/>
            <w:gridSpan w:val="2"/>
            <w:vAlign w:val="center"/>
          </w:tcPr>
          <w:p w14:paraId="57C92251" w14:textId="77777777" w:rsidR="00D7301D" w:rsidRPr="00D7301D" w:rsidRDefault="00D7301D" w:rsidP="00D7301D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>Фактический вывоз товара, подлежащего прослеживаемости, с территории РФ в соответствии с таможенной процедурой экспорта или реэкспорта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A3661D4" w14:textId="77777777" w:rsidR="00D7301D" w:rsidRPr="00D7301D" w:rsidRDefault="00D7301D" w:rsidP="00D7301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>Для участников оборота товаров, подлежащих прослеживаемости, применяющих специальные налоговые режимы, а также освобожденных от исполнения обязанностей налогоплательщика налога на добавленную стоимость</w:t>
            </w:r>
            <w:r w:rsidRPr="00D7301D" w:rsidDel="00987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7353EB23" w14:textId="77777777" w:rsidR="00D7301D" w:rsidRPr="00D7301D" w:rsidRDefault="00D7301D" w:rsidP="007657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1D" w:rsidRPr="00D7301D" w14:paraId="61C9F8F9" w14:textId="77777777" w:rsidTr="00A2144F">
        <w:trPr>
          <w:trHeight w:val="284"/>
        </w:trPr>
        <w:tc>
          <w:tcPr>
            <w:tcW w:w="1428" w:type="dxa"/>
            <w:gridSpan w:val="2"/>
            <w:shd w:val="clear" w:color="auto" w:fill="auto"/>
            <w:noWrap/>
            <w:vAlign w:val="center"/>
          </w:tcPr>
          <w:p w14:paraId="7B7E3CAA" w14:textId="77777777" w:rsidR="00D7301D" w:rsidRPr="00D7301D" w:rsidRDefault="00D7301D" w:rsidP="007657B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</w:t>
            </w:r>
          </w:p>
        </w:tc>
        <w:tc>
          <w:tcPr>
            <w:tcW w:w="4526" w:type="dxa"/>
            <w:gridSpan w:val="2"/>
            <w:vAlign w:val="center"/>
          </w:tcPr>
          <w:p w14:paraId="34EA480F" w14:textId="77777777" w:rsidR="00D7301D" w:rsidRPr="00D7301D" w:rsidRDefault="00D7301D" w:rsidP="00D7301D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>Передача на безвозмездной основе права собственности товара, подлежащего прослеживаемости,   физическим лицам для личных, семейных, домашних и иных, не связанных с предпринимательской деятельностью, нужд, а также налогоплательщикам налога на профессиональный доход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ADB3C7F" w14:textId="77777777" w:rsidR="00D7301D" w:rsidRPr="00D7301D" w:rsidRDefault="00D7301D" w:rsidP="00D7301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>Для участников оборота товаров, подлежащих прослеживаемости, применяющих специальные налоговые режимы, а также освобожденных от исполнения обязанностей налогоплательщика налога на добавленную стоимость</w:t>
            </w:r>
          </w:p>
        </w:tc>
        <w:tc>
          <w:tcPr>
            <w:tcW w:w="3544" w:type="dxa"/>
            <w:vAlign w:val="center"/>
          </w:tcPr>
          <w:p w14:paraId="67AC8DD4" w14:textId="77777777" w:rsidR="00D7301D" w:rsidRPr="00D7301D" w:rsidRDefault="00D7301D" w:rsidP="007657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1D" w:rsidRPr="00D7301D" w14:paraId="72272365" w14:textId="77777777" w:rsidTr="00017746">
        <w:trPr>
          <w:trHeight w:val="278"/>
        </w:trPr>
        <w:tc>
          <w:tcPr>
            <w:tcW w:w="1428" w:type="dxa"/>
            <w:gridSpan w:val="2"/>
            <w:shd w:val="clear" w:color="auto" w:fill="auto"/>
            <w:noWrap/>
            <w:vAlign w:val="center"/>
          </w:tcPr>
          <w:p w14:paraId="1C614512" w14:textId="77777777" w:rsidR="00D7301D" w:rsidRPr="00D7301D" w:rsidRDefault="00D7301D" w:rsidP="007657B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526" w:type="dxa"/>
            <w:gridSpan w:val="2"/>
            <w:vAlign w:val="center"/>
          </w:tcPr>
          <w:p w14:paraId="5AA38A7F" w14:textId="77777777" w:rsidR="00D7301D" w:rsidRPr="00D7301D" w:rsidRDefault="00D7301D" w:rsidP="00D7301D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>Конфискация товара, подлежащего прослеживаемости,    государством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F050480" w14:textId="42B60EB3" w:rsidR="00D7301D" w:rsidRPr="00C875B3" w:rsidRDefault="00205B09" w:rsidP="00D7301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5B3">
              <w:rPr>
                <w:rFonts w:ascii="Times New Roman" w:hAnsi="Times New Roman" w:cs="Times New Roman"/>
                <w:sz w:val="28"/>
                <w:szCs w:val="28"/>
              </w:rPr>
              <w:t>Для всех участников оборота товаров, подлежащих прослеживаемости</w:t>
            </w:r>
          </w:p>
        </w:tc>
        <w:tc>
          <w:tcPr>
            <w:tcW w:w="3544" w:type="dxa"/>
            <w:vAlign w:val="center"/>
          </w:tcPr>
          <w:p w14:paraId="0E8A7E97" w14:textId="77777777" w:rsidR="00D7301D" w:rsidRPr="00D7301D" w:rsidRDefault="00D7301D" w:rsidP="007657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1D" w:rsidRPr="00D7301D" w14:paraId="34A2549B" w14:textId="77777777" w:rsidTr="00017746">
        <w:trPr>
          <w:trHeight w:val="267"/>
        </w:trPr>
        <w:tc>
          <w:tcPr>
            <w:tcW w:w="1428" w:type="dxa"/>
            <w:gridSpan w:val="2"/>
            <w:shd w:val="clear" w:color="auto" w:fill="auto"/>
            <w:noWrap/>
            <w:vAlign w:val="center"/>
          </w:tcPr>
          <w:p w14:paraId="6285D0E7" w14:textId="77777777" w:rsidR="00D7301D" w:rsidRPr="00D7301D" w:rsidRDefault="00D7301D" w:rsidP="007657B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526" w:type="dxa"/>
            <w:gridSpan w:val="2"/>
            <w:vAlign w:val="center"/>
          </w:tcPr>
          <w:p w14:paraId="5CA6EFAA" w14:textId="0CC4D3FB" w:rsidR="00D7301D" w:rsidRPr="00D7301D" w:rsidRDefault="00D7301D" w:rsidP="00D7301D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>Реализация товаров, подлежащих прослеживаемости, дипломатическим представительствам и консульским учреждениям, представительствам госуда</w:t>
            </w:r>
            <w:proofErr w:type="gramStart"/>
            <w:r w:rsidRPr="00D7301D">
              <w:rPr>
                <w:rFonts w:ascii="Times New Roman" w:hAnsi="Times New Roman" w:cs="Times New Roman"/>
                <w:sz w:val="28"/>
                <w:szCs w:val="28"/>
              </w:rPr>
              <w:t>рств пр</w:t>
            </w:r>
            <w:proofErr w:type="gramEnd"/>
            <w:r w:rsidRPr="00D7301D">
              <w:rPr>
                <w:rFonts w:ascii="Times New Roman" w:hAnsi="Times New Roman" w:cs="Times New Roman"/>
                <w:sz w:val="28"/>
                <w:szCs w:val="28"/>
              </w:rPr>
              <w:t xml:space="preserve">и международных организациях, международным организациям или их представительствам, пользующимся привилегиями и (или) иммунитетами в соответствии с международными договорами Российской </w:t>
            </w:r>
            <w:r w:rsidRPr="00D7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при условии последующего оф</w:t>
            </w:r>
            <w:bookmarkStart w:id="1" w:name="_GoBack"/>
            <w:bookmarkEnd w:id="1"/>
            <w:r w:rsidRPr="00D7301D">
              <w:rPr>
                <w:rFonts w:ascii="Times New Roman" w:hAnsi="Times New Roman" w:cs="Times New Roman"/>
                <w:sz w:val="28"/>
                <w:szCs w:val="28"/>
              </w:rPr>
              <w:t>ициальн</w:t>
            </w:r>
            <w:r w:rsidR="00B04A21">
              <w:rPr>
                <w:rFonts w:ascii="Times New Roman" w:hAnsi="Times New Roman" w:cs="Times New Roman"/>
                <w:sz w:val="28"/>
                <w:szCs w:val="28"/>
              </w:rPr>
              <w:t>ого использования этих тов</w:t>
            </w:r>
            <w:r w:rsidR="00134AE4">
              <w:rPr>
                <w:rFonts w:ascii="Times New Roman" w:hAnsi="Times New Roman" w:cs="Times New Roman"/>
                <w:sz w:val="28"/>
                <w:szCs w:val="28"/>
              </w:rPr>
              <w:t>аров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B4536A3" w14:textId="19EA735B" w:rsidR="00D7301D" w:rsidRPr="00C875B3" w:rsidRDefault="00205B09" w:rsidP="00D7301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всех участников оборота товаров, подлежащих прослеживаемости</w:t>
            </w:r>
          </w:p>
        </w:tc>
        <w:tc>
          <w:tcPr>
            <w:tcW w:w="3544" w:type="dxa"/>
            <w:vAlign w:val="center"/>
          </w:tcPr>
          <w:p w14:paraId="794DB193" w14:textId="77777777" w:rsidR="00D7301D" w:rsidRPr="00D7301D" w:rsidRDefault="00D7301D" w:rsidP="007657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1D" w:rsidRPr="00D7301D" w14:paraId="30C0F3DF" w14:textId="77777777" w:rsidTr="00017746">
        <w:trPr>
          <w:trHeight w:val="267"/>
        </w:trPr>
        <w:tc>
          <w:tcPr>
            <w:tcW w:w="1428" w:type="dxa"/>
            <w:gridSpan w:val="2"/>
            <w:shd w:val="clear" w:color="auto" w:fill="auto"/>
            <w:noWrap/>
            <w:vAlign w:val="center"/>
          </w:tcPr>
          <w:p w14:paraId="5294900E" w14:textId="77777777" w:rsidR="00D7301D" w:rsidRPr="00D7301D" w:rsidRDefault="00D7301D" w:rsidP="007657B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</w:t>
            </w:r>
          </w:p>
        </w:tc>
        <w:tc>
          <w:tcPr>
            <w:tcW w:w="4526" w:type="dxa"/>
            <w:gridSpan w:val="2"/>
            <w:vAlign w:val="center"/>
          </w:tcPr>
          <w:p w14:paraId="28674972" w14:textId="77777777" w:rsidR="00D7301D" w:rsidRPr="00D7301D" w:rsidRDefault="00D7301D" w:rsidP="00D7301D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>Недостача товара, подлежащего прослеживаемости, выявленная в результате инвентаризации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D796485" w14:textId="1904A75C" w:rsidR="00D7301D" w:rsidRPr="00C875B3" w:rsidRDefault="00205B09" w:rsidP="00D7301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5B3">
              <w:rPr>
                <w:rFonts w:ascii="Times New Roman" w:hAnsi="Times New Roman" w:cs="Times New Roman"/>
                <w:sz w:val="28"/>
                <w:szCs w:val="28"/>
              </w:rPr>
              <w:t>Для всех участников оборота товаров, подлежащих прослеживаемости</w:t>
            </w:r>
          </w:p>
        </w:tc>
        <w:tc>
          <w:tcPr>
            <w:tcW w:w="3544" w:type="dxa"/>
            <w:vAlign w:val="center"/>
          </w:tcPr>
          <w:p w14:paraId="55120E71" w14:textId="77777777" w:rsidR="00D7301D" w:rsidRPr="00D7301D" w:rsidRDefault="00D7301D" w:rsidP="007657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1D" w:rsidRPr="00D7301D" w14:paraId="5EF1B346" w14:textId="77777777" w:rsidTr="00017746">
        <w:trPr>
          <w:trHeight w:val="301"/>
        </w:trPr>
        <w:tc>
          <w:tcPr>
            <w:tcW w:w="15168" w:type="dxa"/>
            <w:gridSpan w:val="6"/>
            <w:vAlign w:val="center"/>
          </w:tcPr>
          <w:p w14:paraId="75587E49" w14:textId="77777777" w:rsidR="00D7301D" w:rsidRPr="00D7301D" w:rsidRDefault="00D7301D" w:rsidP="00D7301D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b/>
                <w:sz w:val="28"/>
                <w:szCs w:val="28"/>
              </w:rPr>
              <w:t>Операции возобновления прослеживаемости</w:t>
            </w:r>
          </w:p>
        </w:tc>
      </w:tr>
      <w:tr w:rsidR="00D7301D" w:rsidRPr="00D7301D" w14:paraId="7453ABD1" w14:textId="77777777" w:rsidTr="00017746">
        <w:trPr>
          <w:trHeight w:val="301"/>
        </w:trPr>
        <w:tc>
          <w:tcPr>
            <w:tcW w:w="1428" w:type="dxa"/>
            <w:gridSpan w:val="2"/>
            <w:shd w:val="clear" w:color="auto" w:fill="auto"/>
            <w:noWrap/>
            <w:vAlign w:val="center"/>
          </w:tcPr>
          <w:p w14:paraId="79776EE6" w14:textId="77777777" w:rsidR="00D7301D" w:rsidRPr="00D7301D" w:rsidRDefault="00D7301D" w:rsidP="007657B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26" w:type="dxa"/>
            <w:gridSpan w:val="2"/>
            <w:vAlign w:val="center"/>
          </w:tcPr>
          <w:p w14:paraId="75E67206" w14:textId="38AF9199" w:rsidR="00D7301D" w:rsidRPr="00D7301D" w:rsidRDefault="00024CE1" w:rsidP="00D7301D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4CE1">
              <w:rPr>
                <w:rFonts w:ascii="Times New Roman" w:hAnsi="Times New Roman" w:cs="Times New Roman"/>
                <w:sz w:val="28"/>
                <w:szCs w:val="28"/>
              </w:rPr>
              <w:t>ыявление, участником оборота товаров, подлежащих прослеживаемости,  при инвентаризации товаров, подлежащих прослеживаемости, по которым ранее выявлена недостача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4B155C7" w14:textId="0F8FEF93" w:rsidR="00D7301D" w:rsidRPr="00C875B3" w:rsidRDefault="00205B09" w:rsidP="00D7301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5B3">
              <w:rPr>
                <w:rFonts w:ascii="Times New Roman" w:hAnsi="Times New Roman" w:cs="Times New Roman"/>
                <w:sz w:val="28"/>
                <w:szCs w:val="28"/>
              </w:rPr>
              <w:t>Для всех участников оборота товаров, подлежащих прослеживаемости</w:t>
            </w:r>
          </w:p>
        </w:tc>
        <w:tc>
          <w:tcPr>
            <w:tcW w:w="3544" w:type="dxa"/>
            <w:vAlign w:val="center"/>
          </w:tcPr>
          <w:p w14:paraId="42348809" w14:textId="77777777" w:rsidR="00D7301D" w:rsidRPr="00D7301D" w:rsidRDefault="00D7301D" w:rsidP="007657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1D" w:rsidRPr="00D7301D" w14:paraId="194707AB" w14:textId="77777777" w:rsidTr="00017746">
        <w:trPr>
          <w:trHeight w:val="301"/>
        </w:trPr>
        <w:tc>
          <w:tcPr>
            <w:tcW w:w="1428" w:type="dxa"/>
            <w:gridSpan w:val="2"/>
            <w:shd w:val="clear" w:color="auto" w:fill="auto"/>
            <w:noWrap/>
            <w:vAlign w:val="center"/>
          </w:tcPr>
          <w:p w14:paraId="48F35601" w14:textId="77777777" w:rsidR="00D7301D" w:rsidRPr="00D7301D" w:rsidRDefault="00D7301D" w:rsidP="007657B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26" w:type="dxa"/>
            <w:gridSpan w:val="2"/>
            <w:vAlign w:val="center"/>
          </w:tcPr>
          <w:p w14:paraId="748DE03B" w14:textId="1E8370DD" w:rsidR="00D7301D" w:rsidRPr="00D7301D" w:rsidRDefault="00D7301D" w:rsidP="00D7301D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 xml:space="preserve">Возврат физическими лицами товаров, подлежащих прослеживаемости, ранее реализованных физическим лицам для личных, семейных, домашних и иных, не связанных с предпринимательской деятельностью, нужд, а также возврат налогоплательщиками налога на профессиональный </w:t>
            </w:r>
            <w:r w:rsidRPr="00D7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доход, товаров, подлежащих прослеживаемости, ранее реализованных налогоплательщикам н</w:t>
            </w:r>
            <w:r w:rsidR="00B04A21">
              <w:rPr>
                <w:rFonts w:ascii="Times New Roman" w:hAnsi="Times New Roman" w:cs="Times New Roman"/>
                <w:sz w:val="28"/>
                <w:szCs w:val="28"/>
              </w:rPr>
              <w:t>алога на профессиональный доход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1E039BD" w14:textId="77777777" w:rsidR="00D7301D" w:rsidRPr="00D7301D" w:rsidRDefault="00D7301D" w:rsidP="00D7301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участников оборота товаров, подлежащих прослеживаемости, применяющих специальные налоговые режимы, а также освобожденных от исполнения обязанностей налогоплательщика налога на добавленную стоимость</w:t>
            </w:r>
            <w:r w:rsidRPr="00D7301D" w:rsidDel="00987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1213B658" w14:textId="77777777" w:rsidR="00D7301D" w:rsidRPr="00D7301D" w:rsidRDefault="00D7301D" w:rsidP="007657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1D" w:rsidRPr="00D7301D" w14:paraId="42ADFB0F" w14:textId="77777777" w:rsidTr="00017746">
        <w:trPr>
          <w:trHeight w:val="301"/>
        </w:trPr>
        <w:tc>
          <w:tcPr>
            <w:tcW w:w="1428" w:type="dxa"/>
            <w:gridSpan w:val="2"/>
            <w:shd w:val="clear" w:color="auto" w:fill="auto"/>
            <w:noWrap/>
            <w:vAlign w:val="center"/>
          </w:tcPr>
          <w:p w14:paraId="54FDF05B" w14:textId="77777777" w:rsidR="00D7301D" w:rsidRPr="00D7301D" w:rsidRDefault="00D7301D" w:rsidP="007657B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526" w:type="dxa"/>
            <w:gridSpan w:val="2"/>
            <w:vAlign w:val="center"/>
          </w:tcPr>
          <w:p w14:paraId="2CFAA69B" w14:textId="455CE715" w:rsidR="00D7301D" w:rsidRPr="00D7301D" w:rsidRDefault="00024CE1" w:rsidP="00D7301D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4CE1">
              <w:rPr>
                <w:rFonts w:ascii="Times New Roman" w:hAnsi="Times New Roman" w:cs="Times New Roman"/>
                <w:sz w:val="28"/>
                <w:szCs w:val="28"/>
              </w:rPr>
              <w:t>озврат остатков неиспользованных (непереработанных) товаров из производства (переработки)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6D65017" w14:textId="6B8FFA64" w:rsidR="00D7301D" w:rsidRPr="00024CE1" w:rsidRDefault="00205B09" w:rsidP="00D7301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CE1">
              <w:rPr>
                <w:rFonts w:ascii="Times New Roman" w:hAnsi="Times New Roman" w:cs="Times New Roman"/>
                <w:sz w:val="28"/>
                <w:szCs w:val="28"/>
              </w:rPr>
              <w:t>Для всех участников оборота товаров, подлежащих прослеживаемости</w:t>
            </w:r>
          </w:p>
        </w:tc>
        <w:tc>
          <w:tcPr>
            <w:tcW w:w="3544" w:type="dxa"/>
            <w:vAlign w:val="center"/>
          </w:tcPr>
          <w:p w14:paraId="06CB5CA6" w14:textId="77777777" w:rsidR="00D7301D" w:rsidRPr="00D7301D" w:rsidRDefault="00D7301D" w:rsidP="007657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1D" w:rsidRPr="00D7301D" w14:paraId="412CF9CB" w14:textId="77777777" w:rsidTr="00017746">
        <w:tblPrEx>
          <w:tblCellMar>
            <w:left w:w="57" w:type="dxa"/>
            <w:right w:w="57" w:type="dxa"/>
          </w:tblCellMar>
        </w:tblPrEx>
        <w:trPr>
          <w:trHeight w:val="595"/>
          <w:tblHeader/>
        </w:trPr>
        <w:tc>
          <w:tcPr>
            <w:tcW w:w="15168" w:type="dxa"/>
            <w:gridSpan w:val="6"/>
            <w:shd w:val="clear" w:color="auto" w:fill="auto"/>
            <w:vAlign w:val="center"/>
          </w:tcPr>
          <w:p w14:paraId="2785557A" w14:textId="77777777" w:rsidR="00D7301D" w:rsidRPr="00D7301D" w:rsidRDefault="00D7301D" w:rsidP="007657B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b/>
                <w:sz w:val="28"/>
                <w:szCs w:val="28"/>
              </w:rPr>
              <w:t>Операции при передаче (получении) имущества (товара), не связанные с реализацией или безвозмездной передачей</w:t>
            </w:r>
          </w:p>
        </w:tc>
      </w:tr>
      <w:tr w:rsidR="00D7301D" w:rsidRPr="00D7301D" w14:paraId="1D9E645C" w14:textId="77777777" w:rsidTr="00017746">
        <w:trPr>
          <w:trHeight w:val="301"/>
        </w:trPr>
        <w:tc>
          <w:tcPr>
            <w:tcW w:w="1428" w:type="dxa"/>
            <w:gridSpan w:val="2"/>
            <w:shd w:val="clear" w:color="auto" w:fill="auto"/>
            <w:noWrap/>
            <w:vAlign w:val="center"/>
          </w:tcPr>
          <w:p w14:paraId="7577BDBB" w14:textId="77777777" w:rsidR="00D7301D" w:rsidRPr="00D7301D" w:rsidRDefault="00D7301D" w:rsidP="007657B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26" w:type="dxa"/>
            <w:gridSpan w:val="2"/>
            <w:vAlign w:val="center"/>
          </w:tcPr>
          <w:p w14:paraId="0DB698BC" w14:textId="40952E11" w:rsidR="00D7301D" w:rsidRPr="00D7301D" w:rsidRDefault="00D7301D" w:rsidP="00581BE4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товара, подлежащего прослеживаемости, не связанная с реализацией или передачей на безвозмездной основе 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14:paraId="310E2A0E" w14:textId="4E3AB323" w:rsidR="00D7301D" w:rsidRPr="00AF36BA" w:rsidRDefault="00D7301D" w:rsidP="00D7301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6BA"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  <w:r w:rsidR="00205B09" w:rsidRPr="00AF36BA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оборота товаров, подлежащих прослеживаемости</w:t>
            </w:r>
            <w:r w:rsidRPr="00AF36BA">
              <w:rPr>
                <w:rFonts w:ascii="Times New Roman" w:hAnsi="Times New Roman" w:cs="Times New Roman"/>
                <w:sz w:val="28"/>
                <w:szCs w:val="28"/>
              </w:rPr>
              <w:t xml:space="preserve"> при передаче/приемке имущества (товара):</w:t>
            </w:r>
          </w:p>
          <w:p w14:paraId="774952A7" w14:textId="724E17B7" w:rsidR="00D7301D" w:rsidRDefault="009F7F30" w:rsidP="00D7301D">
            <w:pPr>
              <w:pStyle w:val="a9"/>
              <w:numPr>
                <w:ilvl w:val="0"/>
                <w:numId w:val="10"/>
              </w:numPr>
              <w:spacing w:before="120" w:after="120" w:line="240" w:lineRule="auto"/>
              <w:ind w:left="7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с </w:t>
            </w:r>
            <w:r w:rsidR="00B1025B">
              <w:rPr>
                <w:rFonts w:ascii="Times New Roman" w:hAnsi="Times New Roman" w:cs="Times New Roman"/>
                <w:sz w:val="28"/>
                <w:szCs w:val="28"/>
              </w:rPr>
              <w:t>внесением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клад</w:t>
            </w:r>
            <w:r w:rsidR="00B102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имущество организации,</w:t>
            </w:r>
            <w:r w:rsidR="00D7301D" w:rsidRPr="00AF36BA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взнос в имущество в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лях увеличения чистых активов </w:t>
            </w:r>
          </w:p>
          <w:p w14:paraId="0487025C" w14:textId="77777777" w:rsidR="00B1025B" w:rsidRDefault="00B1025B" w:rsidP="00B1025B">
            <w:pPr>
              <w:pStyle w:val="a9"/>
              <w:numPr>
                <w:ilvl w:val="0"/>
                <w:numId w:val="10"/>
              </w:numPr>
              <w:spacing w:before="120" w:after="120" w:line="240" w:lineRule="auto"/>
              <w:ind w:left="7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передаче</w:t>
            </w:r>
            <w:r w:rsidRPr="00C362A7">
              <w:rPr>
                <w:rFonts w:ascii="Times New Roman" w:hAnsi="Times New Roman" w:cs="Times New Roman"/>
                <w:sz w:val="28"/>
                <w:szCs w:val="28"/>
              </w:rPr>
              <w:t xml:space="preserve"> товара в качестве вклада по договору инвестиционного товарищества или паевых взносов в паевые фонды кооперативов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5FD5CC0" w14:textId="435CE41F" w:rsidR="00B1025B" w:rsidRPr="00B1025B" w:rsidRDefault="00B1025B" w:rsidP="00B1025B">
            <w:pPr>
              <w:pStyle w:val="a9"/>
              <w:numPr>
                <w:ilvl w:val="0"/>
                <w:numId w:val="10"/>
              </w:numPr>
              <w:spacing w:before="120" w:after="120" w:line="240" w:lineRule="auto"/>
              <w:ind w:left="7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B1025B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аче</w:t>
            </w:r>
            <w:r w:rsidRPr="00B1025B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в качестве вклада по договору простого товарищества, </w:t>
            </w:r>
            <w:r w:rsidRPr="00B10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качестве вклада в уставный (складочный) капитал хозяйственных обществ и товариществ </w:t>
            </w:r>
          </w:p>
          <w:p w14:paraId="5D5F0BE2" w14:textId="30F8859D" w:rsidR="00D7301D" w:rsidRPr="00B1025B" w:rsidRDefault="00B1025B" w:rsidP="00B1025B">
            <w:pPr>
              <w:pStyle w:val="a9"/>
              <w:numPr>
                <w:ilvl w:val="0"/>
                <w:numId w:val="10"/>
              </w:numPr>
              <w:spacing w:before="120" w:after="120" w:line="240" w:lineRule="auto"/>
              <w:ind w:left="7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реорганизации</w:t>
            </w:r>
            <w:r w:rsidR="009F7F30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лица</w:t>
            </w:r>
          </w:p>
        </w:tc>
        <w:tc>
          <w:tcPr>
            <w:tcW w:w="3544" w:type="dxa"/>
            <w:vMerge w:val="restart"/>
            <w:vAlign w:val="center"/>
          </w:tcPr>
          <w:p w14:paraId="2257CE9F" w14:textId="7DA6DFE3" w:rsidR="00D7301D" w:rsidRPr="00D7301D" w:rsidRDefault="00D7301D" w:rsidP="007657B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Первичные учетные документы: передаточный акт; разделительный баланс; соглашение о </w:t>
            </w:r>
            <w:proofErr w:type="gramStart"/>
            <w:r w:rsidRPr="00D7301D">
              <w:rPr>
                <w:rFonts w:ascii="Times New Roman" w:hAnsi="Times New Roman" w:cs="Times New Roman"/>
                <w:sz w:val="28"/>
                <w:szCs w:val="28"/>
              </w:rPr>
              <w:t>разделе</w:t>
            </w:r>
            <w:proofErr w:type="gramEnd"/>
            <w:r w:rsidRPr="00D7301D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</w:t>
            </w:r>
            <w:r w:rsidR="00AF36BA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</w:tr>
      <w:tr w:rsidR="00D7301D" w:rsidRPr="00D7301D" w14:paraId="4FD9E697" w14:textId="77777777" w:rsidTr="00017746">
        <w:trPr>
          <w:trHeight w:val="301"/>
        </w:trPr>
        <w:tc>
          <w:tcPr>
            <w:tcW w:w="1428" w:type="dxa"/>
            <w:gridSpan w:val="2"/>
            <w:shd w:val="clear" w:color="auto" w:fill="auto"/>
            <w:noWrap/>
            <w:vAlign w:val="center"/>
          </w:tcPr>
          <w:p w14:paraId="607CD28B" w14:textId="77777777" w:rsidR="00D7301D" w:rsidRPr="00D7301D" w:rsidRDefault="00D7301D" w:rsidP="007657B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26" w:type="dxa"/>
            <w:gridSpan w:val="2"/>
            <w:vAlign w:val="center"/>
          </w:tcPr>
          <w:p w14:paraId="2FA61662" w14:textId="36151F76" w:rsidR="00D7301D" w:rsidRPr="00D7301D" w:rsidRDefault="00D7301D" w:rsidP="00581BE4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товара, предлежащего прослеживаемости, не связанное с реализацией или получением на безвозмездной основе </w:t>
            </w:r>
          </w:p>
        </w:tc>
        <w:tc>
          <w:tcPr>
            <w:tcW w:w="5670" w:type="dxa"/>
            <w:vMerge/>
            <w:shd w:val="clear" w:color="auto" w:fill="auto"/>
            <w:vAlign w:val="center"/>
          </w:tcPr>
          <w:p w14:paraId="11B5790F" w14:textId="77777777" w:rsidR="00D7301D" w:rsidRPr="00D7301D" w:rsidRDefault="00D7301D" w:rsidP="007657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14:paraId="79F1E48D" w14:textId="77777777" w:rsidR="00D7301D" w:rsidRPr="00D7301D" w:rsidRDefault="00D7301D" w:rsidP="007657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1D" w:rsidRPr="00D7301D" w14:paraId="73439078" w14:textId="77777777" w:rsidTr="00017746">
        <w:tblPrEx>
          <w:tblCellMar>
            <w:left w:w="57" w:type="dxa"/>
            <w:right w:w="57" w:type="dxa"/>
          </w:tblCellMar>
        </w:tblPrEx>
        <w:trPr>
          <w:trHeight w:val="595"/>
          <w:tblHeader/>
        </w:trPr>
        <w:tc>
          <w:tcPr>
            <w:tcW w:w="15168" w:type="dxa"/>
            <w:gridSpan w:val="6"/>
            <w:shd w:val="clear" w:color="auto" w:fill="auto"/>
            <w:vAlign w:val="center"/>
            <w:hideMark/>
          </w:tcPr>
          <w:p w14:paraId="757001F3" w14:textId="77777777" w:rsidR="00D7301D" w:rsidRPr="00D7301D" w:rsidRDefault="00D7301D" w:rsidP="007657B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Операции при приобретении (получении), реализации (передаче), </w:t>
            </w:r>
          </w:p>
          <w:p w14:paraId="6507B1F9" w14:textId="77777777" w:rsidR="00D7301D" w:rsidRPr="00D7301D" w:rsidRDefault="00D7301D" w:rsidP="007657B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 через агента или комиссионера </w:t>
            </w:r>
          </w:p>
        </w:tc>
      </w:tr>
      <w:tr w:rsidR="00D7301D" w:rsidRPr="00D7301D" w14:paraId="68864DE1" w14:textId="77777777" w:rsidTr="00A2144F">
        <w:tblPrEx>
          <w:tblCellMar>
            <w:left w:w="57" w:type="dxa"/>
            <w:right w:w="57" w:type="dxa"/>
          </w:tblCellMar>
        </w:tblPrEx>
        <w:trPr>
          <w:trHeight w:val="547"/>
        </w:trPr>
        <w:tc>
          <w:tcPr>
            <w:tcW w:w="1481" w:type="dxa"/>
            <w:gridSpan w:val="3"/>
            <w:shd w:val="clear" w:color="auto" w:fill="auto"/>
            <w:noWrap/>
            <w:vAlign w:val="center"/>
            <w:hideMark/>
          </w:tcPr>
          <w:p w14:paraId="020A44D5" w14:textId="77777777" w:rsidR="00D7301D" w:rsidRPr="00D7301D" w:rsidRDefault="00D7301D" w:rsidP="007657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3" w:type="dxa"/>
            <w:vAlign w:val="center"/>
          </w:tcPr>
          <w:p w14:paraId="5EFF4EF5" w14:textId="77777777" w:rsidR="00D7301D" w:rsidRPr="00D7301D" w:rsidRDefault="00D7301D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>Реализация товара (собственником товара)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14:paraId="570E84B5" w14:textId="13672701" w:rsidR="004A2A2E" w:rsidRDefault="00D7301D" w:rsidP="00D7301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A2E">
              <w:rPr>
                <w:rFonts w:ascii="Times New Roman" w:hAnsi="Times New Roman" w:cs="Times New Roman"/>
                <w:sz w:val="28"/>
                <w:szCs w:val="28"/>
              </w:rPr>
              <w:t>Для участников оборота товаров, подлежащих прослеживаемости, применяющих специальные налоговые режимы, а также освобожденных от исполнения обязанностей налогоплательщика налога на добавленную стоимость</w:t>
            </w:r>
          </w:p>
          <w:p w14:paraId="25BC32A1" w14:textId="3FEF0E13" w:rsidR="00B1025B" w:rsidRDefault="00B1025B" w:rsidP="00D7301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14:paraId="0384F3F6" w14:textId="42E9F78B" w:rsidR="00D7301D" w:rsidRPr="00D7301D" w:rsidRDefault="00A2144F" w:rsidP="00D7301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2A2E">
              <w:rPr>
                <w:rFonts w:ascii="Times New Roman" w:hAnsi="Times New Roman" w:cs="Times New Roman"/>
                <w:sz w:val="28"/>
                <w:szCs w:val="28"/>
              </w:rPr>
              <w:t>для участников</w:t>
            </w:r>
            <w:r w:rsidR="00D7301D" w:rsidRPr="004A2A2E">
              <w:rPr>
                <w:rFonts w:ascii="Times New Roman" w:hAnsi="Times New Roman" w:cs="Times New Roman"/>
                <w:sz w:val="28"/>
                <w:szCs w:val="28"/>
              </w:rPr>
              <w:t xml:space="preserve"> оборота товаров, подлеж</w:t>
            </w:r>
            <w:r w:rsidRPr="004A2A2E">
              <w:rPr>
                <w:rFonts w:ascii="Times New Roman" w:hAnsi="Times New Roman" w:cs="Times New Roman"/>
                <w:sz w:val="28"/>
                <w:szCs w:val="28"/>
              </w:rPr>
              <w:t>ащих прослеживаемости,  являющих</w:t>
            </w:r>
            <w:r w:rsidR="00D7301D" w:rsidRPr="004A2A2E">
              <w:rPr>
                <w:rFonts w:ascii="Times New Roman" w:hAnsi="Times New Roman" w:cs="Times New Roman"/>
                <w:sz w:val="28"/>
                <w:szCs w:val="28"/>
              </w:rPr>
              <w:t>ся налогоплательщиками налога</w:t>
            </w:r>
            <w:r w:rsidR="00D7301D" w:rsidRPr="00D7301D">
              <w:rPr>
                <w:rFonts w:ascii="Times New Roman" w:hAnsi="Times New Roman" w:cs="Times New Roman"/>
                <w:sz w:val="28"/>
                <w:szCs w:val="28"/>
              </w:rPr>
              <w:t xml:space="preserve"> на добавленную стоимость при реализации, передаче в собственность на безвозмездной основе товаров, подлежащих прослеживаемости, не признаваемых объектом налогообложения  по налогу на </w:t>
            </w:r>
            <w:r w:rsidR="00D7301D" w:rsidRPr="00D7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добавленную стоимость в соответствии с пунктом 2 статьи 146 Налогового кодекса Российской Федерации и (или) освобождаемых от налогообложения налогом на добавленную стоимость в соответствии со статьей 149 Налогового кодекса Российской</w:t>
            </w:r>
            <w:proofErr w:type="gramEnd"/>
            <w:r w:rsidR="00D7301D" w:rsidRPr="00D7301D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</w:t>
            </w:r>
          </w:p>
        </w:tc>
        <w:tc>
          <w:tcPr>
            <w:tcW w:w="3544" w:type="dxa"/>
            <w:vMerge w:val="restart"/>
            <w:vAlign w:val="center"/>
          </w:tcPr>
          <w:p w14:paraId="7C2D14DD" w14:textId="3B8D8E34" w:rsidR="00D7301D" w:rsidRPr="00D7301D" w:rsidRDefault="00D7301D" w:rsidP="00B10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1D" w:rsidRPr="00D7301D" w14:paraId="3A350F75" w14:textId="77777777" w:rsidTr="00A2144F">
        <w:tblPrEx>
          <w:tblCellMar>
            <w:left w:w="57" w:type="dxa"/>
            <w:right w:w="57" w:type="dxa"/>
          </w:tblCellMar>
        </w:tblPrEx>
        <w:trPr>
          <w:trHeight w:val="1238"/>
        </w:trPr>
        <w:tc>
          <w:tcPr>
            <w:tcW w:w="1481" w:type="dxa"/>
            <w:gridSpan w:val="3"/>
            <w:shd w:val="clear" w:color="auto" w:fill="auto"/>
            <w:noWrap/>
            <w:vAlign w:val="center"/>
            <w:hideMark/>
          </w:tcPr>
          <w:p w14:paraId="0366AAA7" w14:textId="77777777" w:rsidR="00D7301D" w:rsidRPr="00D7301D" w:rsidRDefault="00D7301D" w:rsidP="007657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3" w:type="dxa"/>
            <w:vAlign w:val="center"/>
          </w:tcPr>
          <w:p w14:paraId="14AD6A17" w14:textId="77777777" w:rsidR="00D7301D" w:rsidRPr="00D7301D" w:rsidRDefault="00D7301D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>Передача на безвозмездной основе права собственности на товары</w:t>
            </w:r>
          </w:p>
        </w:tc>
        <w:tc>
          <w:tcPr>
            <w:tcW w:w="5670" w:type="dxa"/>
            <w:vMerge/>
            <w:shd w:val="clear" w:color="auto" w:fill="auto"/>
            <w:vAlign w:val="center"/>
          </w:tcPr>
          <w:p w14:paraId="5BCBA848" w14:textId="77777777" w:rsidR="00D7301D" w:rsidRPr="00D7301D" w:rsidRDefault="00D7301D" w:rsidP="00D7301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14:paraId="2F03A747" w14:textId="77777777" w:rsidR="00D7301D" w:rsidRPr="00D7301D" w:rsidRDefault="00D7301D" w:rsidP="00D7301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1D" w:rsidRPr="00D7301D" w14:paraId="04B33A06" w14:textId="77777777" w:rsidTr="00A2144F">
        <w:tblPrEx>
          <w:tblCellMar>
            <w:left w:w="57" w:type="dxa"/>
            <w:right w:w="57" w:type="dxa"/>
          </w:tblCellMar>
        </w:tblPrEx>
        <w:trPr>
          <w:trHeight w:val="1500"/>
        </w:trPr>
        <w:tc>
          <w:tcPr>
            <w:tcW w:w="1481" w:type="dxa"/>
            <w:gridSpan w:val="3"/>
            <w:shd w:val="clear" w:color="auto" w:fill="auto"/>
            <w:noWrap/>
            <w:vAlign w:val="center"/>
          </w:tcPr>
          <w:p w14:paraId="209ECBFB" w14:textId="77777777" w:rsidR="00D7301D" w:rsidRPr="00D7301D" w:rsidRDefault="00D7301D" w:rsidP="007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473" w:type="dxa"/>
            <w:vAlign w:val="center"/>
          </w:tcPr>
          <w:p w14:paraId="070412CF" w14:textId="77777777" w:rsidR="00D7301D" w:rsidRPr="00D7301D" w:rsidRDefault="00D7301D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>Приобретение товара (в собственность)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592DAD0" w14:textId="21F7B8F1" w:rsidR="007F5175" w:rsidRDefault="00D7301D" w:rsidP="004A2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участников оборота товаров, подлежащих прослеживаемости, применяющих специальные налоговые режимы, а также освобожденных от исполнения обязанностей налогоплательщика </w:t>
            </w:r>
            <w:r w:rsidR="004A2A2E">
              <w:rPr>
                <w:rFonts w:ascii="Times New Roman" w:hAnsi="Times New Roman" w:cs="Times New Roman"/>
                <w:sz w:val="28"/>
                <w:szCs w:val="28"/>
              </w:rPr>
              <w:t>налога на добавленную стоимость</w:t>
            </w:r>
          </w:p>
          <w:p w14:paraId="377EB82A" w14:textId="50FBC299" w:rsidR="00080016" w:rsidRDefault="00080016" w:rsidP="004A2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14:paraId="0E5D3E0D" w14:textId="4FAF2CF7" w:rsidR="007F5175" w:rsidRDefault="004A2A2E" w:rsidP="004A2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A2E">
              <w:rPr>
                <w:rFonts w:ascii="Times New Roman" w:hAnsi="Times New Roman" w:cs="Times New Roman"/>
                <w:sz w:val="28"/>
                <w:szCs w:val="28"/>
              </w:rPr>
              <w:t>для участников оборота товаров, подлежащих прослеживаемости,  являющихся налогоплательщиками налога</w:t>
            </w:r>
            <w:r w:rsidR="007F5175">
              <w:rPr>
                <w:rFonts w:ascii="Times New Roman" w:hAnsi="Times New Roman" w:cs="Times New Roman"/>
                <w:sz w:val="28"/>
                <w:szCs w:val="28"/>
              </w:rPr>
              <w:t xml:space="preserve"> на добавленную стоимость, при приобретении (получении) товаров, подлежащих прослеживаемости, у </w:t>
            </w:r>
            <w:r w:rsidR="007F5175" w:rsidRPr="00D7301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оборота товаров, подлежащих прослеживаемости, применяющих специальные налоговые </w:t>
            </w:r>
            <w:r w:rsidR="007F5175" w:rsidRPr="00D7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режимы, а также освобожденных от исполнения обязанностей налогоплательщика </w:t>
            </w:r>
            <w:r w:rsidR="007F5175">
              <w:rPr>
                <w:rFonts w:ascii="Times New Roman" w:hAnsi="Times New Roman" w:cs="Times New Roman"/>
                <w:sz w:val="28"/>
                <w:szCs w:val="28"/>
              </w:rPr>
              <w:t>налога на добавленную стоимость</w:t>
            </w:r>
          </w:p>
          <w:p w14:paraId="5A5BA672" w14:textId="3E7F250F" w:rsidR="00080016" w:rsidRDefault="00B1025B" w:rsidP="004A2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14:paraId="044DBA6C" w14:textId="3D32B28E" w:rsidR="004A2A2E" w:rsidRPr="00D7301D" w:rsidRDefault="00B1025B" w:rsidP="00080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2A2E">
              <w:rPr>
                <w:rFonts w:ascii="Times New Roman" w:hAnsi="Times New Roman" w:cs="Times New Roman"/>
                <w:sz w:val="28"/>
                <w:szCs w:val="28"/>
              </w:rPr>
              <w:t>для участников оборота товаров, подлежащих прослеживаемости,  являющихся налогоплательщиками налога</w:t>
            </w: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 xml:space="preserve"> на добавленную стоимость</w:t>
            </w:r>
            <w:r w:rsidR="00F10F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 xml:space="preserve">в случае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приобретения, получения товаров, подлежащих прослеживаемости, у участников оборота товаров, подлежащих прослеживаемости, реализующих </w:t>
            </w: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>товар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 подлежащие</w:t>
            </w: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рослеживаемости, не признаваемые</w:t>
            </w: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 xml:space="preserve"> объектом налогообложения  по налогу на добавленную стоимость в соответствии с пунктом 2 статьи 146 Налогового кодекса Российской Федерации и (или) освобождаемых от налогообложения налогом на добавленную стоимость в соответствии</w:t>
            </w:r>
            <w:proofErr w:type="gramEnd"/>
            <w:r w:rsidRPr="00D7301D">
              <w:rPr>
                <w:rFonts w:ascii="Times New Roman" w:hAnsi="Times New Roman" w:cs="Times New Roman"/>
                <w:sz w:val="28"/>
                <w:szCs w:val="28"/>
              </w:rPr>
              <w:t xml:space="preserve"> со статьей 149 Налогового кодекса Российской Федерации</w:t>
            </w:r>
          </w:p>
        </w:tc>
        <w:tc>
          <w:tcPr>
            <w:tcW w:w="3544" w:type="dxa"/>
            <w:vAlign w:val="center"/>
          </w:tcPr>
          <w:p w14:paraId="46494A46" w14:textId="77777777" w:rsidR="00D7301D" w:rsidRPr="00D7301D" w:rsidRDefault="00D7301D" w:rsidP="007F5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1D" w:rsidRPr="00D7301D" w14:paraId="0981ACD8" w14:textId="77777777" w:rsidTr="00A2144F">
        <w:tblPrEx>
          <w:tblCellMar>
            <w:left w:w="57" w:type="dxa"/>
            <w:right w:w="57" w:type="dxa"/>
          </w:tblCellMar>
        </w:tblPrEx>
        <w:trPr>
          <w:trHeight w:val="378"/>
        </w:trPr>
        <w:tc>
          <w:tcPr>
            <w:tcW w:w="1481" w:type="dxa"/>
            <w:gridSpan w:val="3"/>
            <w:shd w:val="clear" w:color="auto" w:fill="auto"/>
            <w:noWrap/>
            <w:vAlign w:val="center"/>
          </w:tcPr>
          <w:p w14:paraId="6AC59C71" w14:textId="77777777" w:rsidR="00D7301D" w:rsidRPr="00D7301D" w:rsidRDefault="00D7301D" w:rsidP="007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473" w:type="dxa"/>
            <w:vAlign w:val="center"/>
          </w:tcPr>
          <w:p w14:paraId="3A0F97F5" w14:textId="77777777" w:rsidR="00D7301D" w:rsidRPr="00D7301D" w:rsidRDefault="00D7301D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на безвозмездной основе права собственности на </w:t>
            </w:r>
            <w:r w:rsidRPr="00D7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товары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345640E" w14:textId="45FD560C" w:rsidR="00D7301D" w:rsidRPr="00D7301D" w:rsidRDefault="007F5175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всех</w:t>
            </w:r>
            <w:r w:rsidR="00727A91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оборота товаров, </w:t>
            </w:r>
            <w:r w:rsidR="00727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подлежащих прослеживаемости</w:t>
            </w:r>
          </w:p>
        </w:tc>
        <w:tc>
          <w:tcPr>
            <w:tcW w:w="3544" w:type="dxa"/>
            <w:vAlign w:val="center"/>
          </w:tcPr>
          <w:p w14:paraId="181C1C98" w14:textId="4403B818" w:rsidR="00D7301D" w:rsidRPr="00D7301D" w:rsidRDefault="00D7301D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1BF" w:rsidRPr="00D7301D" w14:paraId="33E7CA79" w14:textId="77777777" w:rsidTr="00A2144F">
        <w:tblPrEx>
          <w:tblCellMar>
            <w:left w:w="57" w:type="dxa"/>
            <w:right w:w="57" w:type="dxa"/>
          </w:tblCellMar>
        </w:tblPrEx>
        <w:trPr>
          <w:trHeight w:val="508"/>
        </w:trPr>
        <w:tc>
          <w:tcPr>
            <w:tcW w:w="1481" w:type="dxa"/>
            <w:gridSpan w:val="3"/>
            <w:shd w:val="clear" w:color="auto" w:fill="auto"/>
            <w:noWrap/>
            <w:vAlign w:val="center"/>
          </w:tcPr>
          <w:p w14:paraId="22DF72E7" w14:textId="2F9FE2DC" w:rsidR="00B341BF" w:rsidRPr="00D7301D" w:rsidRDefault="00931AFE" w:rsidP="007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473" w:type="dxa"/>
            <w:vAlign w:val="center"/>
          </w:tcPr>
          <w:p w14:paraId="7147CC66" w14:textId="336C616D" w:rsidR="00B341BF" w:rsidRPr="00727A91" w:rsidRDefault="00B341BF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016">
              <w:rPr>
                <w:rFonts w:ascii="Times New Roman" w:hAnsi="Times New Roman" w:cs="Times New Roman"/>
                <w:sz w:val="28"/>
                <w:szCs w:val="28"/>
              </w:rPr>
              <w:t>Составление продавцом универсального корректировочного документа в связи с изменением стоимости отгруженных товаров (работ, услуг), переданных имущественных прав в сторону уменьшения, в том числе в случае уменьшения цен (тарифов) и (или) уменьшения количества (объема) отгруженных товаров (работ, услуг), переданных имущественных прав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FE268D7" w14:textId="3B0F5BE6" w:rsidR="00B341BF" w:rsidRDefault="00B341BF" w:rsidP="00024CE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A2E">
              <w:rPr>
                <w:rFonts w:ascii="Times New Roman" w:hAnsi="Times New Roman" w:cs="Times New Roman"/>
                <w:sz w:val="28"/>
                <w:szCs w:val="28"/>
              </w:rPr>
              <w:t>Для участников оборота товаров, подлежащих прослеживаемости, применяющих специальные налоговые режимы, а также освобожденных от исполнения обязанностей налогоплательщика н</w:t>
            </w:r>
            <w:r w:rsidR="00F10F9C">
              <w:rPr>
                <w:rFonts w:ascii="Times New Roman" w:hAnsi="Times New Roman" w:cs="Times New Roman"/>
                <w:sz w:val="28"/>
                <w:szCs w:val="28"/>
              </w:rPr>
              <w:t>алога на добавленную стоимость</w:t>
            </w:r>
          </w:p>
          <w:p w14:paraId="6A796601" w14:textId="77777777" w:rsidR="00B341BF" w:rsidRDefault="00B341BF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4E4B256E" w14:textId="77777777" w:rsidR="00B341BF" w:rsidRPr="00D7301D" w:rsidRDefault="00B341BF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1BF" w:rsidRPr="00D7301D" w14:paraId="28D65B35" w14:textId="77777777" w:rsidTr="00A2144F">
        <w:tblPrEx>
          <w:tblCellMar>
            <w:left w:w="57" w:type="dxa"/>
            <w:right w:w="57" w:type="dxa"/>
          </w:tblCellMar>
        </w:tblPrEx>
        <w:trPr>
          <w:trHeight w:val="508"/>
        </w:trPr>
        <w:tc>
          <w:tcPr>
            <w:tcW w:w="1481" w:type="dxa"/>
            <w:gridSpan w:val="3"/>
            <w:shd w:val="clear" w:color="auto" w:fill="auto"/>
            <w:noWrap/>
            <w:vAlign w:val="center"/>
          </w:tcPr>
          <w:p w14:paraId="5E4F51CE" w14:textId="23CEE578" w:rsidR="00B341BF" w:rsidRPr="00D7301D" w:rsidRDefault="00931AFE" w:rsidP="007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73" w:type="dxa"/>
            <w:vAlign w:val="center"/>
          </w:tcPr>
          <w:p w14:paraId="2402417A" w14:textId="0BDCDC92" w:rsidR="00B341BF" w:rsidRPr="00727A91" w:rsidRDefault="00B341BF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01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продавцом универсального корректировочного документа в связи с изменением стоимости отгруженных товаров (работ, услуг), переданных имущественных прав в сторону увеличения, в том числе в случае увеличения цен (тарифов) и (или) увеличения количества (объема) отгруженных товаров (работ, </w:t>
            </w:r>
            <w:r w:rsidRPr="0008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услуг), переданных имущественных прав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3068610" w14:textId="168A6FBC" w:rsidR="00B341BF" w:rsidRDefault="00B341BF" w:rsidP="00024CE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участников оборота товаров, подлежащих прослеживаемости, применяющих специальные налоговые режимы, а также освобожденных от исполнения обязанностей налогоплательщика н</w:t>
            </w:r>
            <w:r w:rsidR="00F10F9C">
              <w:rPr>
                <w:rFonts w:ascii="Times New Roman" w:hAnsi="Times New Roman" w:cs="Times New Roman"/>
                <w:sz w:val="28"/>
                <w:szCs w:val="28"/>
              </w:rPr>
              <w:t>алога на добавленную стоимость</w:t>
            </w:r>
          </w:p>
          <w:p w14:paraId="05969F8B" w14:textId="77777777" w:rsidR="00B341BF" w:rsidRDefault="00B341BF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7E735023" w14:textId="77777777" w:rsidR="00B341BF" w:rsidRPr="00D7301D" w:rsidRDefault="00B341BF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1BF" w:rsidRPr="00D7301D" w14:paraId="3E0B4808" w14:textId="77777777" w:rsidTr="00A2144F">
        <w:tblPrEx>
          <w:tblCellMar>
            <w:left w:w="57" w:type="dxa"/>
            <w:right w:w="57" w:type="dxa"/>
          </w:tblCellMar>
        </w:tblPrEx>
        <w:trPr>
          <w:trHeight w:val="508"/>
        </w:trPr>
        <w:tc>
          <w:tcPr>
            <w:tcW w:w="1481" w:type="dxa"/>
            <w:gridSpan w:val="3"/>
            <w:shd w:val="clear" w:color="auto" w:fill="auto"/>
            <w:noWrap/>
            <w:vAlign w:val="center"/>
          </w:tcPr>
          <w:p w14:paraId="6934970E" w14:textId="5345F460" w:rsidR="00B341BF" w:rsidRPr="00D7301D" w:rsidRDefault="00931AFE" w:rsidP="007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473" w:type="dxa"/>
            <w:vAlign w:val="center"/>
          </w:tcPr>
          <w:p w14:paraId="2193D366" w14:textId="1C51D00F" w:rsidR="00B341BF" w:rsidRPr="00727A91" w:rsidRDefault="00B341BF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0016">
              <w:rPr>
                <w:rFonts w:ascii="Times New Roman" w:hAnsi="Times New Roman" w:cs="Times New Roman"/>
                <w:sz w:val="28"/>
                <w:szCs w:val="28"/>
              </w:rPr>
              <w:t>Получение покупателем корректировочного счета-фактуры (универсального корректировочного документа) в связи с изменением стоимости отгруженных товаров (работ, услуг), переданных имущественных прав в сторону уменьшения, в том числе в случае уменьшения цен (тарифов) и (или) уменьшения количества (объема) отгруженных товаров (работ, услуг), переданных имущественных прав</w:t>
            </w:r>
            <w:proofErr w:type="gramEnd"/>
          </w:p>
        </w:tc>
        <w:tc>
          <w:tcPr>
            <w:tcW w:w="5670" w:type="dxa"/>
            <w:shd w:val="clear" w:color="auto" w:fill="auto"/>
            <w:vAlign w:val="center"/>
          </w:tcPr>
          <w:p w14:paraId="09A7846D" w14:textId="77777777" w:rsidR="00B341BF" w:rsidRDefault="00B341BF" w:rsidP="00024CE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A2E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участников оборота товаров, подлежащих прослеживаемости, применяющих специальные налоговые режимы, а также освобожденных от исполнения обязанностей налогоплательщика налога на добавленную стоимость, </w:t>
            </w:r>
          </w:p>
          <w:p w14:paraId="7A900D2E" w14:textId="57ED2AC1" w:rsidR="00B341BF" w:rsidRDefault="00B341BF" w:rsidP="00024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14:paraId="035697C6" w14:textId="77777777" w:rsidR="00B341BF" w:rsidRDefault="00B341BF" w:rsidP="00024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A2E">
              <w:rPr>
                <w:rFonts w:ascii="Times New Roman" w:hAnsi="Times New Roman" w:cs="Times New Roman"/>
                <w:sz w:val="28"/>
                <w:szCs w:val="28"/>
              </w:rPr>
              <w:t>для участников оборота товаров, подлежащих прослеживаемости,  являющихся налогоплательщиками налога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добавленную стоимость, при приобретении (получении) товаров, подлежащих прослеживаемости, у </w:t>
            </w: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оборота товаров, подлежащих прослеживаемости, применяющих специальные налоговые режимы, а также освобожденных от исполнения обязанностей налогоплательщика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налога на добавленную стоимости</w:t>
            </w:r>
          </w:p>
          <w:p w14:paraId="3F21A554" w14:textId="77777777" w:rsidR="00B341BF" w:rsidRDefault="00B341BF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08D066FA" w14:textId="77777777" w:rsidR="00B341BF" w:rsidRPr="00D7301D" w:rsidRDefault="00B341BF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1BF" w:rsidRPr="00D7301D" w14:paraId="7EA1C5CA" w14:textId="77777777" w:rsidTr="00A2144F">
        <w:tblPrEx>
          <w:tblCellMar>
            <w:left w:w="57" w:type="dxa"/>
            <w:right w:w="57" w:type="dxa"/>
          </w:tblCellMar>
        </w:tblPrEx>
        <w:trPr>
          <w:trHeight w:val="508"/>
        </w:trPr>
        <w:tc>
          <w:tcPr>
            <w:tcW w:w="1481" w:type="dxa"/>
            <w:gridSpan w:val="3"/>
            <w:shd w:val="clear" w:color="auto" w:fill="auto"/>
            <w:noWrap/>
            <w:vAlign w:val="center"/>
          </w:tcPr>
          <w:p w14:paraId="51D7321F" w14:textId="3DBCE12A" w:rsidR="00B341BF" w:rsidRPr="00D7301D" w:rsidRDefault="00931AFE" w:rsidP="007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473" w:type="dxa"/>
            <w:vAlign w:val="center"/>
          </w:tcPr>
          <w:p w14:paraId="47AAB996" w14:textId="2C09365C" w:rsidR="00B341BF" w:rsidRPr="00727A91" w:rsidRDefault="00B341BF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0016">
              <w:rPr>
                <w:rFonts w:ascii="Times New Roman" w:hAnsi="Times New Roman" w:cs="Times New Roman"/>
                <w:sz w:val="28"/>
                <w:szCs w:val="28"/>
              </w:rPr>
              <w:t>Получение покупателем корректировочного счета-фактуры (универсального корректировочного документа) в связи с изменением стоимости отгруженных товаров (работ, услуг), переданных имущественных прав в сторону увеличения, в том числе в случае увеличения цен (тарифов) и (или) увеличения количества (объема) отгруженных товаров (работ, услуг), переданных имущественных прав</w:t>
            </w:r>
            <w:proofErr w:type="gramEnd"/>
          </w:p>
        </w:tc>
        <w:tc>
          <w:tcPr>
            <w:tcW w:w="5670" w:type="dxa"/>
            <w:shd w:val="clear" w:color="auto" w:fill="auto"/>
            <w:vAlign w:val="center"/>
          </w:tcPr>
          <w:p w14:paraId="7877406F" w14:textId="77777777" w:rsidR="00B341BF" w:rsidRPr="00080016" w:rsidRDefault="00B341BF" w:rsidP="00024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016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участников оборота товаров, подлежащих прослеживаемости, применяющих специальные налоговые режимы, а также освобожденных от исполнения обязанностей налогоплательщика налога на добавленную стоимость, </w:t>
            </w:r>
          </w:p>
          <w:p w14:paraId="11EFDA70" w14:textId="408E1571" w:rsidR="00B341BF" w:rsidRPr="00080016" w:rsidRDefault="00B341BF" w:rsidP="00024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01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14:paraId="7B9E7FAA" w14:textId="399BB4C2" w:rsidR="00B341BF" w:rsidRDefault="00B341BF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016">
              <w:rPr>
                <w:rFonts w:ascii="Times New Roman" w:hAnsi="Times New Roman" w:cs="Times New Roman"/>
                <w:sz w:val="28"/>
                <w:szCs w:val="28"/>
              </w:rPr>
              <w:t>для участников оборота товаров, подлежащих прослеживаемости,  являющихся налогоплательщиками налога на добавленную стоимость, при приобретении (получении) товаров, подлежащих прослеживаемости, у участников оборота товаров, подлежащих прослеживаемости, применяющих специальные налоговые режимы, а также освобожденных от исполнения обязанностей налогоплательщика налога на добавленную стоимости</w:t>
            </w:r>
          </w:p>
        </w:tc>
        <w:tc>
          <w:tcPr>
            <w:tcW w:w="3544" w:type="dxa"/>
            <w:vAlign w:val="center"/>
          </w:tcPr>
          <w:p w14:paraId="0A94843D" w14:textId="77777777" w:rsidR="00B341BF" w:rsidRPr="00D7301D" w:rsidRDefault="00B341BF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1BF" w:rsidRPr="00D7301D" w14:paraId="251173BD" w14:textId="77777777" w:rsidTr="00A2144F">
        <w:tblPrEx>
          <w:tblCellMar>
            <w:left w:w="57" w:type="dxa"/>
            <w:right w:w="57" w:type="dxa"/>
          </w:tblCellMar>
        </w:tblPrEx>
        <w:trPr>
          <w:trHeight w:val="508"/>
        </w:trPr>
        <w:tc>
          <w:tcPr>
            <w:tcW w:w="1481" w:type="dxa"/>
            <w:gridSpan w:val="3"/>
            <w:shd w:val="clear" w:color="auto" w:fill="auto"/>
            <w:noWrap/>
            <w:vAlign w:val="center"/>
          </w:tcPr>
          <w:p w14:paraId="03844B6C" w14:textId="790B7863" w:rsidR="00B341BF" w:rsidRPr="00D7301D" w:rsidRDefault="00931AFE" w:rsidP="007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73" w:type="dxa"/>
            <w:vAlign w:val="center"/>
          </w:tcPr>
          <w:p w14:paraId="054E1F2B" w14:textId="5F6A8258" w:rsidR="00B341BF" w:rsidRPr="00D7301D" w:rsidRDefault="00B341BF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A9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комиссионером (агентом), действующим от своего имени и в интересах комитента (принципала),  товара комитента </w:t>
            </w:r>
            <w:r w:rsidRPr="00727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(принципала)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10E5930" w14:textId="19554B76" w:rsidR="00B341BF" w:rsidRPr="00D7301D" w:rsidRDefault="00B341BF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комиссионера (агента) в</w:t>
            </w: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 xml:space="preserve"> случае, когда комитент (принципал)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является участником</w:t>
            </w: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 xml:space="preserve"> оборота товаров, подлежащ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прослеживаемости, применяющим специальный налоговый режим,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освобожденным</w:t>
            </w: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 xml:space="preserve"> от исполнения обязанностей налогоплательщика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налога на добавленную стоимость</w:t>
            </w:r>
          </w:p>
          <w:p w14:paraId="3E80527D" w14:textId="77777777" w:rsidR="00B341BF" w:rsidRPr="00D7301D" w:rsidRDefault="00B341BF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>Только для посреднических операций</w:t>
            </w:r>
          </w:p>
        </w:tc>
        <w:tc>
          <w:tcPr>
            <w:tcW w:w="3544" w:type="dxa"/>
            <w:vAlign w:val="center"/>
          </w:tcPr>
          <w:p w14:paraId="5BE96D42" w14:textId="77777777" w:rsidR="00B341BF" w:rsidRPr="00D7301D" w:rsidRDefault="00B341BF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Универсальный передаточный документ</w:t>
            </w:r>
          </w:p>
        </w:tc>
      </w:tr>
      <w:tr w:rsidR="00B341BF" w:rsidRPr="00D7301D" w14:paraId="1CEFEE26" w14:textId="77777777" w:rsidTr="00A2144F">
        <w:tblPrEx>
          <w:tblCellMar>
            <w:left w:w="57" w:type="dxa"/>
            <w:right w:w="57" w:type="dxa"/>
          </w:tblCellMar>
        </w:tblPrEx>
        <w:trPr>
          <w:trHeight w:val="1238"/>
        </w:trPr>
        <w:tc>
          <w:tcPr>
            <w:tcW w:w="1481" w:type="dxa"/>
            <w:gridSpan w:val="3"/>
            <w:shd w:val="clear" w:color="auto" w:fill="auto"/>
            <w:noWrap/>
            <w:vAlign w:val="center"/>
          </w:tcPr>
          <w:p w14:paraId="2991EFAE" w14:textId="1F6C0AEB" w:rsidR="00B341BF" w:rsidRPr="00D7301D" w:rsidRDefault="00931AFE" w:rsidP="007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473" w:type="dxa"/>
            <w:vAlign w:val="center"/>
          </w:tcPr>
          <w:p w14:paraId="5EA4ADC4" w14:textId="0FC68CC0" w:rsidR="00B341BF" w:rsidRPr="00D7301D" w:rsidRDefault="00B341BF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62">
              <w:rPr>
                <w:rFonts w:ascii="Times New Roman" w:hAnsi="Times New Roman" w:cs="Times New Roman"/>
                <w:sz w:val="28"/>
                <w:szCs w:val="28"/>
              </w:rPr>
              <w:t>Передача комиссионером (агентом), действующим от своего имени и в интересах комитента (принципала), сведений о реализаци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товара комитента (принципала)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EAB23F3" w14:textId="051EAF56" w:rsidR="00B341BF" w:rsidRPr="00D7301D" w:rsidRDefault="00B341BF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комиссионера (агента) в</w:t>
            </w: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 xml:space="preserve"> случае, когда комитент (принципал)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является участником</w:t>
            </w: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 xml:space="preserve"> оборота товаров, подлежащ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прослеживаемости, применяющим специальный налоговый режим, а также освобожденным</w:t>
            </w: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 xml:space="preserve"> от исполнения обязанностей налогоплательщика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налога на добавленную стоимость</w:t>
            </w:r>
          </w:p>
          <w:p w14:paraId="368F02C3" w14:textId="77777777" w:rsidR="00B341BF" w:rsidRPr="00D7301D" w:rsidRDefault="00B341BF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>Только для посреднических операций</w:t>
            </w:r>
          </w:p>
        </w:tc>
        <w:tc>
          <w:tcPr>
            <w:tcW w:w="3544" w:type="dxa"/>
            <w:vAlign w:val="center"/>
          </w:tcPr>
          <w:p w14:paraId="2769B275" w14:textId="77777777" w:rsidR="00B341BF" w:rsidRPr="00D7301D" w:rsidRDefault="00B341BF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Первичные учетные документы: отчет комиссионера; отчет </w:t>
            </w:r>
            <w:proofErr w:type="spellStart"/>
            <w:r w:rsidRPr="00D7301D">
              <w:rPr>
                <w:rFonts w:ascii="Times New Roman" w:hAnsi="Times New Roman" w:cs="Times New Roman"/>
                <w:sz w:val="28"/>
                <w:szCs w:val="28"/>
              </w:rPr>
              <w:t>субкомиссионера</w:t>
            </w:r>
            <w:proofErr w:type="spellEnd"/>
            <w:r w:rsidRPr="00D730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41BF" w:rsidRPr="00D7301D" w14:paraId="51593E98" w14:textId="77777777" w:rsidTr="00A2144F">
        <w:tblPrEx>
          <w:tblCellMar>
            <w:left w:w="57" w:type="dxa"/>
            <w:right w:w="57" w:type="dxa"/>
          </w:tblCellMar>
        </w:tblPrEx>
        <w:trPr>
          <w:trHeight w:val="1238"/>
        </w:trPr>
        <w:tc>
          <w:tcPr>
            <w:tcW w:w="1481" w:type="dxa"/>
            <w:gridSpan w:val="3"/>
            <w:shd w:val="clear" w:color="auto" w:fill="auto"/>
            <w:noWrap/>
            <w:vAlign w:val="center"/>
          </w:tcPr>
          <w:p w14:paraId="3B8FF1C2" w14:textId="46A95841" w:rsidR="00B341BF" w:rsidRPr="00D7301D" w:rsidRDefault="00931AFE" w:rsidP="007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73" w:type="dxa"/>
            <w:vAlign w:val="center"/>
          </w:tcPr>
          <w:p w14:paraId="1C3A8408" w14:textId="2FA395FD" w:rsidR="00B341BF" w:rsidRPr="00D7301D" w:rsidRDefault="00B341BF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62">
              <w:rPr>
                <w:rFonts w:ascii="Times New Roman" w:hAnsi="Times New Roman" w:cs="Times New Roman"/>
                <w:sz w:val="28"/>
                <w:szCs w:val="28"/>
              </w:rPr>
              <w:t>Отражение комитентом (принципалом) сведений о реализации товара комиссионером (агентом), действующим от своего имени и 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нтересах комитента (принципала)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BE7F79C" w14:textId="2C740DB4" w:rsidR="00B341BF" w:rsidRPr="00D7301D" w:rsidRDefault="00B341BF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комитента (принципала) в </w:t>
            </w: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 xml:space="preserve">случае, когда комитент (принципал)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является участником</w:t>
            </w: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 xml:space="preserve"> оборота товаров, подлежащ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прослеживаемости, применяющим</w:t>
            </w: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специальные налоговые режимы, а также освобожден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 xml:space="preserve"> от исполнения обязанностей налогоплательщика налога на добавленную стоимость</w:t>
            </w:r>
          </w:p>
          <w:p w14:paraId="5D12C0D6" w14:textId="77777777" w:rsidR="00B341BF" w:rsidRPr="00D7301D" w:rsidRDefault="00B341BF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Только для посреднических операций</w:t>
            </w:r>
          </w:p>
        </w:tc>
        <w:tc>
          <w:tcPr>
            <w:tcW w:w="3544" w:type="dxa"/>
            <w:vAlign w:val="center"/>
          </w:tcPr>
          <w:p w14:paraId="337CAF2E" w14:textId="77777777" w:rsidR="00B341BF" w:rsidRPr="00D7301D" w:rsidRDefault="00B341BF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Первичные учетные документы: отчет комиссионера; отчет </w:t>
            </w:r>
            <w:proofErr w:type="spellStart"/>
            <w:r w:rsidRPr="00D7301D">
              <w:rPr>
                <w:rFonts w:ascii="Times New Roman" w:hAnsi="Times New Roman" w:cs="Times New Roman"/>
                <w:sz w:val="28"/>
                <w:szCs w:val="28"/>
              </w:rPr>
              <w:t>субкомиссионера</w:t>
            </w:r>
            <w:proofErr w:type="spellEnd"/>
            <w:r w:rsidRPr="00D730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41BF" w:rsidRPr="00D7301D" w14:paraId="468DA7F0" w14:textId="77777777" w:rsidTr="00A2144F">
        <w:tblPrEx>
          <w:tblCellMar>
            <w:left w:w="57" w:type="dxa"/>
            <w:right w:w="57" w:type="dxa"/>
          </w:tblCellMar>
        </w:tblPrEx>
        <w:trPr>
          <w:trHeight w:val="1238"/>
        </w:trPr>
        <w:tc>
          <w:tcPr>
            <w:tcW w:w="1481" w:type="dxa"/>
            <w:gridSpan w:val="3"/>
            <w:shd w:val="clear" w:color="auto" w:fill="auto"/>
            <w:noWrap/>
            <w:vAlign w:val="center"/>
          </w:tcPr>
          <w:p w14:paraId="67C3209D" w14:textId="6BA11FCA" w:rsidR="00B341BF" w:rsidRPr="00D7301D" w:rsidRDefault="00931AFE" w:rsidP="007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473" w:type="dxa"/>
            <w:vAlign w:val="center"/>
          </w:tcPr>
          <w:p w14:paraId="43C7073E" w14:textId="1CC13057" w:rsidR="00B341BF" w:rsidRPr="00622962" w:rsidRDefault="00B341BF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0109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комиссионером (агентом), действующим от своего имени и в интересах комитента (принципала),  товара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комитента (принципала)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B7B89E2" w14:textId="6E6415FE" w:rsidR="00B341BF" w:rsidRPr="00D7301D" w:rsidRDefault="00B341BF" w:rsidP="00650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комиссионера (агента) в</w:t>
            </w: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 xml:space="preserve"> случае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приобретения для комитента (принципала) товара, подлежащего прослеживаемости, у участника</w:t>
            </w: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 xml:space="preserve"> оборота товаров, подлежащ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прослеживаемости, применяющего</w:t>
            </w: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специальные налоговые режимы, а также освобожден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 xml:space="preserve"> от исполнения обязанностей налогоплательщика налога на добавленную стоимость</w:t>
            </w:r>
          </w:p>
          <w:p w14:paraId="1D3AC575" w14:textId="2263D8A9" w:rsidR="00B341BF" w:rsidRPr="00D7301D" w:rsidRDefault="00B341BF" w:rsidP="00650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>Только для посреднических операций</w:t>
            </w:r>
          </w:p>
        </w:tc>
        <w:tc>
          <w:tcPr>
            <w:tcW w:w="3544" w:type="dxa"/>
            <w:vAlign w:val="center"/>
          </w:tcPr>
          <w:p w14:paraId="72B5E135" w14:textId="77777777" w:rsidR="00B341BF" w:rsidRPr="00D7301D" w:rsidRDefault="00B341BF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B341BF" w:rsidRPr="00D7301D" w14:paraId="3823D44F" w14:textId="77777777" w:rsidTr="00A2144F">
        <w:tblPrEx>
          <w:tblCellMar>
            <w:left w:w="57" w:type="dxa"/>
            <w:right w:w="57" w:type="dxa"/>
          </w:tblCellMar>
        </w:tblPrEx>
        <w:trPr>
          <w:trHeight w:val="1238"/>
        </w:trPr>
        <w:tc>
          <w:tcPr>
            <w:tcW w:w="1481" w:type="dxa"/>
            <w:gridSpan w:val="3"/>
            <w:shd w:val="clear" w:color="auto" w:fill="auto"/>
            <w:noWrap/>
            <w:vAlign w:val="center"/>
          </w:tcPr>
          <w:p w14:paraId="43707B6D" w14:textId="0425FD92" w:rsidR="00B341BF" w:rsidRPr="00D7301D" w:rsidRDefault="00931AFE" w:rsidP="007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73" w:type="dxa"/>
            <w:vAlign w:val="center"/>
          </w:tcPr>
          <w:p w14:paraId="4D3BEB40" w14:textId="3D570F19" w:rsidR="00B341BF" w:rsidRPr="00622962" w:rsidRDefault="00B341BF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0109">
              <w:rPr>
                <w:rFonts w:ascii="Times New Roman" w:hAnsi="Times New Roman" w:cs="Times New Roman"/>
                <w:sz w:val="28"/>
                <w:szCs w:val="28"/>
              </w:rPr>
              <w:t>Передача комиссионером (агентом), действующим от своего имени и в интересах комитента (принципала), сведений о приобретении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вара для комитента (принципала)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C7D4183" w14:textId="77777777" w:rsidR="00B341BF" w:rsidRPr="00D7301D" w:rsidRDefault="00B341BF" w:rsidP="00650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комиссионера (агента) в</w:t>
            </w: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 xml:space="preserve"> случае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 xml:space="preserve"> случае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приобретения для комитента (принципала) товара, подлежащего прослеживаемости, у участника</w:t>
            </w: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 xml:space="preserve"> оборота товаров, подлежащ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прослеживаемости, применяющего</w:t>
            </w: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специальные налоговые режимы, а также освобожден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 xml:space="preserve"> от исполнения обязанностей налогоплательщика налога на добавленную стоимость</w:t>
            </w:r>
          </w:p>
          <w:p w14:paraId="0EBCCA3F" w14:textId="2A5F353A" w:rsidR="00B341BF" w:rsidRPr="00D7301D" w:rsidRDefault="00B341BF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A79E1D" w14:textId="77777777" w:rsidR="00B341BF" w:rsidRPr="00D7301D" w:rsidRDefault="00B341BF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>Только для посреднических операций</w:t>
            </w:r>
          </w:p>
        </w:tc>
        <w:tc>
          <w:tcPr>
            <w:tcW w:w="3544" w:type="dxa"/>
            <w:vAlign w:val="center"/>
          </w:tcPr>
          <w:p w14:paraId="6869A675" w14:textId="0ABC4CD6" w:rsidR="00B341BF" w:rsidRPr="00D7301D" w:rsidRDefault="00E90029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Первичные учетные документы: отчет комиссионера; отчет </w:t>
            </w:r>
            <w:proofErr w:type="spellStart"/>
            <w:r w:rsidRPr="00E90029">
              <w:rPr>
                <w:rFonts w:ascii="Times New Roman" w:hAnsi="Times New Roman" w:cs="Times New Roman"/>
                <w:sz w:val="28"/>
                <w:szCs w:val="28"/>
              </w:rPr>
              <w:t>субкомиссионера</w:t>
            </w:r>
            <w:proofErr w:type="spellEnd"/>
            <w:r w:rsidRPr="00E900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41BF" w:rsidRPr="00D7301D" w14:paraId="5554BEFE" w14:textId="77777777" w:rsidTr="00A2144F">
        <w:tblPrEx>
          <w:tblCellMar>
            <w:left w:w="57" w:type="dxa"/>
            <w:right w:w="57" w:type="dxa"/>
          </w:tblCellMar>
        </w:tblPrEx>
        <w:trPr>
          <w:trHeight w:val="1238"/>
        </w:trPr>
        <w:tc>
          <w:tcPr>
            <w:tcW w:w="1481" w:type="dxa"/>
            <w:gridSpan w:val="3"/>
            <w:shd w:val="clear" w:color="auto" w:fill="auto"/>
            <w:noWrap/>
            <w:vAlign w:val="center"/>
          </w:tcPr>
          <w:p w14:paraId="5194B390" w14:textId="3672B9CA" w:rsidR="00B341BF" w:rsidRPr="00D7301D" w:rsidRDefault="00931AFE" w:rsidP="007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473" w:type="dxa"/>
            <w:vAlign w:val="center"/>
          </w:tcPr>
          <w:p w14:paraId="50B9857C" w14:textId="28A66511" w:rsidR="00B341BF" w:rsidRPr="00D7301D" w:rsidRDefault="00B341BF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62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комитентом (принципалом) сведений о </w:t>
            </w:r>
            <w:proofErr w:type="gramStart"/>
            <w:r w:rsidRPr="00622962">
              <w:rPr>
                <w:rFonts w:ascii="Times New Roman" w:hAnsi="Times New Roman" w:cs="Times New Roman"/>
                <w:sz w:val="28"/>
                <w:szCs w:val="28"/>
              </w:rPr>
              <w:t>приобретении</w:t>
            </w:r>
            <w:proofErr w:type="gramEnd"/>
            <w:r w:rsidRPr="00622962">
              <w:rPr>
                <w:rFonts w:ascii="Times New Roman" w:hAnsi="Times New Roman" w:cs="Times New Roman"/>
                <w:sz w:val="28"/>
                <w:szCs w:val="28"/>
              </w:rPr>
              <w:t xml:space="preserve"> товара комиссионером (агентом), действующим от своего имени и в интересах комитента (принципала)»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6302BEB" w14:textId="77777777" w:rsidR="00B341BF" w:rsidRDefault="00B341BF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комитента (принципала):</w:t>
            </w:r>
          </w:p>
          <w:p w14:paraId="55A1C8D9" w14:textId="11EEA945" w:rsidR="00B341BF" w:rsidRPr="00D7301D" w:rsidRDefault="00B341BF" w:rsidP="005D6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 xml:space="preserve"> случае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приобретения комиссионером (агентом) товара у участника оборота товаров, подлежащих прослеживаемости, применяющего специальный налоговый режим, а также освобожденного</w:t>
            </w: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 xml:space="preserve"> от исполнения обязанностей налогоплательщика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налога на добавленную стоимость</w:t>
            </w:r>
          </w:p>
          <w:p w14:paraId="101895F5" w14:textId="1A3DA39C" w:rsidR="00B341BF" w:rsidRDefault="00B341BF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(или)</w:t>
            </w:r>
          </w:p>
          <w:p w14:paraId="2B39EADA" w14:textId="728FC229" w:rsidR="00B341BF" w:rsidRPr="00D7301D" w:rsidRDefault="00B341BF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 xml:space="preserve">случае, когда комитент (принципал)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является участником</w:t>
            </w: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 xml:space="preserve"> оборота товаров, подлежащ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прослеживаемости, применяющим</w:t>
            </w: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специальные налоговые режимы, а также освобожден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 xml:space="preserve"> от исполнения обязанностей налогоплательщика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налога на добавленную стоимость</w:t>
            </w:r>
          </w:p>
          <w:p w14:paraId="67F371C1" w14:textId="77777777" w:rsidR="00B341BF" w:rsidRPr="00D7301D" w:rsidRDefault="00B341BF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>Только для посреднических операций</w:t>
            </w:r>
          </w:p>
        </w:tc>
        <w:tc>
          <w:tcPr>
            <w:tcW w:w="3544" w:type="dxa"/>
            <w:vAlign w:val="center"/>
          </w:tcPr>
          <w:p w14:paraId="015FDAAD" w14:textId="6B99EB23" w:rsidR="00B341BF" w:rsidRPr="00D7301D" w:rsidRDefault="00E90029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029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Первичные учетные документы: отчет комиссионера; отчет </w:t>
            </w:r>
            <w:proofErr w:type="spellStart"/>
            <w:r w:rsidRPr="00E90029">
              <w:rPr>
                <w:rFonts w:ascii="Times New Roman" w:hAnsi="Times New Roman" w:cs="Times New Roman"/>
                <w:sz w:val="28"/>
                <w:szCs w:val="28"/>
              </w:rPr>
              <w:t>субкомиссионера</w:t>
            </w:r>
            <w:proofErr w:type="spellEnd"/>
            <w:r w:rsidRPr="00E900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41BF" w:rsidRPr="00D7301D" w14:paraId="75AE02E8" w14:textId="77777777" w:rsidTr="00A2144F">
        <w:tblPrEx>
          <w:tblCellMar>
            <w:left w:w="57" w:type="dxa"/>
            <w:right w:w="57" w:type="dxa"/>
          </w:tblCellMar>
        </w:tblPrEx>
        <w:trPr>
          <w:trHeight w:val="1238"/>
        </w:trPr>
        <w:tc>
          <w:tcPr>
            <w:tcW w:w="1481" w:type="dxa"/>
            <w:gridSpan w:val="3"/>
            <w:shd w:val="clear" w:color="auto" w:fill="auto"/>
            <w:noWrap/>
            <w:vAlign w:val="center"/>
          </w:tcPr>
          <w:p w14:paraId="741609A7" w14:textId="6A4E4229" w:rsidR="00B341BF" w:rsidRPr="00D7301D" w:rsidRDefault="00931AFE" w:rsidP="007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473" w:type="dxa"/>
            <w:vAlign w:val="center"/>
          </w:tcPr>
          <w:p w14:paraId="0C7D37F1" w14:textId="7A5EF946" w:rsidR="00B341BF" w:rsidRPr="00622962" w:rsidRDefault="00B341BF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41BF">
              <w:rPr>
                <w:rFonts w:ascii="Times New Roman" w:hAnsi="Times New Roman" w:cs="Times New Roman"/>
                <w:sz w:val="28"/>
                <w:szCs w:val="28"/>
              </w:rPr>
              <w:t>Составление комиссионером (агентом) универсального корректировочного документа в связи с изменением стоимости отгруженных товаров (работ, услуг), переданных имущественных прав в сторону уменьшения, в том числе в случае уменьшения цен (тарифов) и (или) уменьшения количества (объема) отгруженных товаров (работ, услуг)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переданных имущественных прав</w:t>
            </w:r>
            <w:proofErr w:type="gramEnd"/>
          </w:p>
        </w:tc>
        <w:tc>
          <w:tcPr>
            <w:tcW w:w="5670" w:type="dxa"/>
            <w:shd w:val="clear" w:color="auto" w:fill="auto"/>
            <w:vAlign w:val="center"/>
          </w:tcPr>
          <w:p w14:paraId="65C6D49E" w14:textId="7E7DD8F9" w:rsidR="00B341BF" w:rsidRDefault="00B341BF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F">
              <w:rPr>
                <w:rFonts w:ascii="Times New Roman" w:hAnsi="Times New Roman" w:cs="Times New Roman"/>
                <w:sz w:val="28"/>
                <w:szCs w:val="28"/>
              </w:rPr>
              <w:t>Для комиссионера (агента)</w:t>
            </w:r>
            <w:r w:rsidR="000C3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 xml:space="preserve"> случае, когда комитент (принципал)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является участником</w:t>
            </w: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 xml:space="preserve"> оборота товаров, подлежащ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прослеживаемости, применяющим специальный налоговый режим, а также освобожденным</w:t>
            </w: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 xml:space="preserve"> от исполнения обязанностей налогоплательщика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налога на добавленную стоимость</w:t>
            </w:r>
          </w:p>
          <w:p w14:paraId="17D7A085" w14:textId="77777777" w:rsidR="000C3C52" w:rsidRDefault="000C3C52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D7DE29" w14:textId="3C1960A7" w:rsidR="000C3C52" w:rsidRDefault="00017746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>Только для посреднических операций</w:t>
            </w:r>
          </w:p>
        </w:tc>
        <w:tc>
          <w:tcPr>
            <w:tcW w:w="3544" w:type="dxa"/>
            <w:vAlign w:val="center"/>
          </w:tcPr>
          <w:p w14:paraId="06729AEC" w14:textId="77777777" w:rsidR="00B341BF" w:rsidRPr="00D7301D" w:rsidRDefault="00B341BF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1BF" w:rsidRPr="00D7301D" w14:paraId="5CEB8A5F" w14:textId="77777777" w:rsidTr="00A2144F">
        <w:tblPrEx>
          <w:tblCellMar>
            <w:left w:w="57" w:type="dxa"/>
            <w:right w:w="57" w:type="dxa"/>
          </w:tblCellMar>
        </w:tblPrEx>
        <w:trPr>
          <w:trHeight w:val="1238"/>
        </w:trPr>
        <w:tc>
          <w:tcPr>
            <w:tcW w:w="1481" w:type="dxa"/>
            <w:gridSpan w:val="3"/>
            <w:shd w:val="clear" w:color="auto" w:fill="auto"/>
            <w:noWrap/>
            <w:vAlign w:val="center"/>
          </w:tcPr>
          <w:p w14:paraId="2FB280CF" w14:textId="574D1F8C" w:rsidR="00B341BF" w:rsidRPr="00D7301D" w:rsidRDefault="00931AFE" w:rsidP="007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73" w:type="dxa"/>
            <w:vAlign w:val="center"/>
          </w:tcPr>
          <w:p w14:paraId="6E0448B5" w14:textId="6CEB93E1" w:rsidR="00B341BF" w:rsidRPr="00622962" w:rsidRDefault="00B341BF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41BF">
              <w:rPr>
                <w:rFonts w:ascii="Times New Roman" w:hAnsi="Times New Roman" w:cs="Times New Roman"/>
                <w:sz w:val="28"/>
                <w:szCs w:val="28"/>
              </w:rPr>
              <w:t>Передача комиссионером (агентом) сведений о возврате покупателем ранее реализованных комиссионером (агентом) товаров комитента (принципала</w:t>
            </w:r>
            <w:proofErr w:type="gramEnd"/>
          </w:p>
        </w:tc>
        <w:tc>
          <w:tcPr>
            <w:tcW w:w="5670" w:type="dxa"/>
            <w:shd w:val="clear" w:color="auto" w:fill="auto"/>
            <w:vAlign w:val="center"/>
          </w:tcPr>
          <w:p w14:paraId="349DB139" w14:textId="77777777" w:rsidR="00B341BF" w:rsidRDefault="00B341BF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F">
              <w:rPr>
                <w:rFonts w:ascii="Times New Roman" w:hAnsi="Times New Roman" w:cs="Times New Roman"/>
                <w:sz w:val="28"/>
                <w:szCs w:val="28"/>
              </w:rPr>
              <w:t>Для комиссионера (агента) в случае, когда комитент (принципал) является участником оборота товаров, подлежащих прослеживаемости, применяющим специальный налоговый режим, а также освобожденным от исполнения обязанностей налогоплательщика налога на добавленную стоимость</w:t>
            </w:r>
          </w:p>
          <w:p w14:paraId="35663AD8" w14:textId="20A4A748" w:rsidR="00017746" w:rsidRDefault="00017746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>Только для посреднических операций</w:t>
            </w:r>
          </w:p>
        </w:tc>
        <w:tc>
          <w:tcPr>
            <w:tcW w:w="3544" w:type="dxa"/>
            <w:vAlign w:val="center"/>
          </w:tcPr>
          <w:p w14:paraId="2DEC4A4F" w14:textId="77777777" w:rsidR="00B341BF" w:rsidRPr="00D7301D" w:rsidRDefault="00B341BF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1BF" w:rsidRPr="00D7301D" w14:paraId="153D0DDB" w14:textId="77777777" w:rsidTr="00A2144F">
        <w:tblPrEx>
          <w:tblCellMar>
            <w:left w:w="57" w:type="dxa"/>
            <w:right w:w="57" w:type="dxa"/>
          </w:tblCellMar>
        </w:tblPrEx>
        <w:trPr>
          <w:trHeight w:val="1238"/>
        </w:trPr>
        <w:tc>
          <w:tcPr>
            <w:tcW w:w="1481" w:type="dxa"/>
            <w:gridSpan w:val="3"/>
            <w:shd w:val="clear" w:color="auto" w:fill="auto"/>
            <w:noWrap/>
            <w:vAlign w:val="center"/>
          </w:tcPr>
          <w:p w14:paraId="6AEF7EAF" w14:textId="44C012FA" w:rsidR="00B341BF" w:rsidRPr="00D7301D" w:rsidRDefault="00931AFE" w:rsidP="007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473" w:type="dxa"/>
            <w:vAlign w:val="center"/>
          </w:tcPr>
          <w:p w14:paraId="00DBDE83" w14:textId="31E47C89" w:rsidR="00B341BF" w:rsidRPr="00B341BF" w:rsidRDefault="00B341BF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F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комитентом (принципалом) сведений о  </w:t>
            </w:r>
            <w:proofErr w:type="gramStart"/>
            <w:r w:rsidRPr="00B341BF">
              <w:rPr>
                <w:rFonts w:ascii="Times New Roman" w:hAnsi="Times New Roman" w:cs="Times New Roman"/>
                <w:sz w:val="28"/>
                <w:szCs w:val="28"/>
              </w:rPr>
              <w:t>возврате</w:t>
            </w:r>
            <w:proofErr w:type="gramEnd"/>
            <w:r w:rsidRPr="00B341BF">
              <w:rPr>
                <w:rFonts w:ascii="Times New Roman" w:hAnsi="Times New Roman" w:cs="Times New Roman"/>
                <w:sz w:val="28"/>
                <w:szCs w:val="28"/>
              </w:rPr>
              <w:t xml:space="preserve"> покупателем ранее реализованных комиссионером (агентом) товаров комитента (принципала)»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DA9B503" w14:textId="10F66885" w:rsidR="007D520E" w:rsidRPr="007D520E" w:rsidRDefault="007D520E" w:rsidP="007D5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комитента (принципала) </w:t>
            </w:r>
            <w:r w:rsidRPr="007D520E">
              <w:rPr>
                <w:rFonts w:ascii="Times New Roman" w:hAnsi="Times New Roman" w:cs="Times New Roman"/>
                <w:sz w:val="28"/>
                <w:szCs w:val="28"/>
              </w:rPr>
              <w:t>в случае, когда комитент (принципал) является участником оборота товаров, подлежащих прослеживаемости, применяющим специальные налоговые режимы, а также освобожденным от исполнения обязанностей налогоплательщика налога на добавленную стоимость</w:t>
            </w:r>
          </w:p>
          <w:p w14:paraId="0DF40077" w14:textId="52921A37" w:rsidR="00B341BF" w:rsidRPr="00B341BF" w:rsidRDefault="007D520E" w:rsidP="007D5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E">
              <w:rPr>
                <w:rFonts w:ascii="Times New Roman" w:hAnsi="Times New Roman" w:cs="Times New Roman"/>
                <w:sz w:val="28"/>
                <w:szCs w:val="28"/>
              </w:rPr>
              <w:t>Только для посреднических операций</w:t>
            </w:r>
          </w:p>
        </w:tc>
        <w:tc>
          <w:tcPr>
            <w:tcW w:w="3544" w:type="dxa"/>
            <w:vAlign w:val="center"/>
          </w:tcPr>
          <w:p w14:paraId="64C28389" w14:textId="77777777" w:rsidR="00B341BF" w:rsidRPr="00D7301D" w:rsidRDefault="00B341BF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1BF" w:rsidRPr="00D7301D" w14:paraId="13F83117" w14:textId="77777777" w:rsidTr="00A2144F">
        <w:tblPrEx>
          <w:tblCellMar>
            <w:left w:w="57" w:type="dxa"/>
            <w:right w:w="57" w:type="dxa"/>
          </w:tblCellMar>
        </w:tblPrEx>
        <w:trPr>
          <w:trHeight w:val="1238"/>
        </w:trPr>
        <w:tc>
          <w:tcPr>
            <w:tcW w:w="1481" w:type="dxa"/>
            <w:gridSpan w:val="3"/>
            <w:shd w:val="clear" w:color="auto" w:fill="auto"/>
            <w:noWrap/>
            <w:vAlign w:val="center"/>
          </w:tcPr>
          <w:p w14:paraId="624935B7" w14:textId="17A4E7D9" w:rsidR="00B341BF" w:rsidRPr="00D7301D" w:rsidRDefault="00931AFE" w:rsidP="007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73" w:type="dxa"/>
            <w:vAlign w:val="center"/>
          </w:tcPr>
          <w:p w14:paraId="2D9E9F4C" w14:textId="028DB297" w:rsidR="00B341BF" w:rsidRPr="00B341BF" w:rsidRDefault="007D520E" w:rsidP="007D5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20E">
              <w:rPr>
                <w:rFonts w:ascii="Times New Roman" w:hAnsi="Times New Roman" w:cs="Times New Roman"/>
                <w:sz w:val="28"/>
                <w:szCs w:val="28"/>
              </w:rPr>
              <w:t>Получение комитентом (принципалом) корректировочного счета-фактуры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20E">
              <w:rPr>
                <w:rFonts w:ascii="Times New Roman" w:hAnsi="Times New Roman" w:cs="Times New Roman"/>
                <w:sz w:val="28"/>
                <w:szCs w:val="28"/>
              </w:rPr>
              <w:t>в связи с изменением стоимости отгруженных товаров (работ, услуг), переданных имущественных прав в сторону уменьшения, в том числе в случае уменьшения цен (тарифов) и (или) уменьшения количества (объема) отгруженных товаров (работ, услуг), переданных имущественных прав»</w:t>
            </w:r>
            <w:proofErr w:type="gramEnd"/>
          </w:p>
        </w:tc>
        <w:tc>
          <w:tcPr>
            <w:tcW w:w="5670" w:type="dxa"/>
            <w:shd w:val="clear" w:color="auto" w:fill="auto"/>
            <w:vAlign w:val="center"/>
          </w:tcPr>
          <w:p w14:paraId="1CD32145" w14:textId="4DB7AA05" w:rsidR="007D520E" w:rsidRPr="007D520E" w:rsidRDefault="007D520E" w:rsidP="007D5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комитента (принципала) в случае,</w:t>
            </w:r>
            <w:r w:rsidRPr="007D520E">
              <w:rPr>
                <w:rFonts w:ascii="Times New Roman" w:hAnsi="Times New Roman" w:cs="Times New Roman"/>
                <w:sz w:val="28"/>
                <w:szCs w:val="28"/>
              </w:rPr>
              <w:t xml:space="preserve"> когда комитент (принципал) является участником оборота товаров, подлежащих прослеживаемости, применяющим специальные налоговые режимы, а также освобожденным от исполнения обязанностей налогоплательщика налога на добавленную стоимость</w:t>
            </w:r>
          </w:p>
          <w:p w14:paraId="0AEA3180" w14:textId="6E851544" w:rsidR="007D520E" w:rsidRDefault="007D520E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1FD14" w14:textId="4C08DBEF" w:rsidR="00B341BF" w:rsidRPr="00B341BF" w:rsidRDefault="007D520E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E">
              <w:rPr>
                <w:rFonts w:ascii="Times New Roman" w:hAnsi="Times New Roman" w:cs="Times New Roman"/>
                <w:sz w:val="28"/>
                <w:szCs w:val="28"/>
              </w:rPr>
              <w:t>Только для посреднических операций</w:t>
            </w:r>
          </w:p>
        </w:tc>
        <w:tc>
          <w:tcPr>
            <w:tcW w:w="3544" w:type="dxa"/>
            <w:vAlign w:val="center"/>
          </w:tcPr>
          <w:p w14:paraId="1966B346" w14:textId="77777777" w:rsidR="00B341BF" w:rsidRPr="00D7301D" w:rsidRDefault="00B341BF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0E" w:rsidRPr="00D7301D" w14:paraId="21633515" w14:textId="77777777" w:rsidTr="00A2144F">
        <w:tblPrEx>
          <w:tblCellMar>
            <w:left w:w="57" w:type="dxa"/>
            <w:right w:w="57" w:type="dxa"/>
          </w:tblCellMar>
        </w:tblPrEx>
        <w:trPr>
          <w:trHeight w:val="1238"/>
        </w:trPr>
        <w:tc>
          <w:tcPr>
            <w:tcW w:w="1481" w:type="dxa"/>
            <w:gridSpan w:val="3"/>
            <w:shd w:val="clear" w:color="auto" w:fill="auto"/>
            <w:noWrap/>
            <w:vAlign w:val="center"/>
          </w:tcPr>
          <w:p w14:paraId="397AE214" w14:textId="2C5F404E" w:rsidR="007D520E" w:rsidRPr="00D7301D" w:rsidRDefault="00931AFE" w:rsidP="007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4473" w:type="dxa"/>
            <w:vAlign w:val="center"/>
          </w:tcPr>
          <w:p w14:paraId="3A3FDC2D" w14:textId="1AF88F79" w:rsidR="007D520E" w:rsidRPr="00B341BF" w:rsidRDefault="000C3C52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52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комиссионером (агентом) сведений о </w:t>
            </w:r>
            <w:proofErr w:type="gramStart"/>
            <w:r w:rsidRPr="000C3C52">
              <w:rPr>
                <w:rFonts w:ascii="Times New Roman" w:hAnsi="Times New Roman" w:cs="Times New Roman"/>
                <w:sz w:val="28"/>
                <w:szCs w:val="28"/>
              </w:rPr>
              <w:t>возврате</w:t>
            </w:r>
            <w:proofErr w:type="gramEnd"/>
            <w:r w:rsidRPr="000C3C52">
              <w:rPr>
                <w:rFonts w:ascii="Times New Roman" w:hAnsi="Times New Roman" w:cs="Times New Roman"/>
                <w:sz w:val="28"/>
                <w:szCs w:val="28"/>
              </w:rPr>
              <w:t xml:space="preserve"> комитентом (принципалом) приобретенных для него комиссионером (агентом) товаров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522BE5E" w14:textId="71C0CD73" w:rsidR="000C3C52" w:rsidRPr="000C3C52" w:rsidRDefault="000C3C52" w:rsidP="000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52">
              <w:rPr>
                <w:rFonts w:ascii="Times New Roman" w:hAnsi="Times New Roman" w:cs="Times New Roman"/>
                <w:sz w:val="28"/>
                <w:szCs w:val="28"/>
              </w:rPr>
              <w:t>Для комиссионера (агента) в случае приобретения для комитента (принципала) товара, подлежащего прослеживаемости, у участника оборота товаров, подлежащих прослеживаемости, применяющего специальные налоговые режимы, а также освобожденного от исполнения обязанностей налогоплательщика налога на добавленную стоимость</w:t>
            </w:r>
          </w:p>
          <w:p w14:paraId="60EE0845" w14:textId="77777777" w:rsidR="000C3C52" w:rsidRPr="000C3C52" w:rsidRDefault="000C3C52" w:rsidP="000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EE8C0E" w14:textId="26C01D07" w:rsidR="007D520E" w:rsidRPr="00B341BF" w:rsidRDefault="000C3C52" w:rsidP="000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52">
              <w:rPr>
                <w:rFonts w:ascii="Times New Roman" w:hAnsi="Times New Roman" w:cs="Times New Roman"/>
                <w:sz w:val="28"/>
                <w:szCs w:val="28"/>
              </w:rPr>
              <w:t>Только для посреднических операций</w:t>
            </w:r>
          </w:p>
        </w:tc>
        <w:tc>
          <w:tcPr>
            <w:tcW w:w="3544" w:type="dxa"/>
            <w:vAlign w:val="center"/>
          </w:tcPr>
          <w:p w14:paraId="607FC987" w14:textId="77777777" w:rsidR="007D520E" w:rsidRPr="00D7301D" w:rsidRDefault="007D520E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0E" w:rsidRPr="00D7301D" w14:paraId="2FB9C245" w14:textId="77777777" w:rsidTr="00A2144F">
        <w:tblPrEx>
          <w:tblCellMar>
            <w:left w:w="57" w:type="dxa"/>
            <w:right w:w="57" w:type="dxa"/>
          </w:tblCellMar>
        </w:tblPrEx>
        <w:trPr>
          <w:trHeight w:val="1238"/>
        </w:trPr>
        <w:tc>
          <w:tcPr>
            <w:tcW w:w="1481" w:type="dxa"/>
            <w:gridSpan w:val="3"/>
            <w:shd w:val="clear" w:color="auto" w:fill="auto"/>
            <w:noWrap/>
            <w:vAlign w:val="center"/>
          </w:tcPr>
          <w:p w14:paraId="75F835D3" w14:textId="5D32CD52" w:rsidR="007D520E" w:rsidRPr="00D7301D" w:rsidRDefault="00931AFE" w:rsidP="007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73" w:type="dxa"/>
            <w:vAlign w:val="center"/>
          </w:tcPr>
          <w:p w14:paraId="4E35DFA1" w14:textId="473887CD" w:rsidR="007D520E" w:rsidRPr="00B341BF" w:rsidRDefault="000C3C52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3C5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 комиссионером (агентом) универсального корректировочного документа в связи с изменением стоимости отгруженных товаров (работ, услуг), переданных имущественных прав в сторону уменьшения, в том числе в случае уменьшения цен (тарифов) и (или) уменьшения количества (объема) отгруженных товаров (работ, услуг), переданных </w:t>
            </w:r>
            <w:r w:rsidRPr="000C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имущественных прав</w:t>
            </w:r>
            <w:proofErr w:type="gramEnd"/>
          </w:p>
        </w:tc>
        <w:tc>
          <w:tcPr>
            <w:tcW w:w="5670" w:type="dxa"/>
            <w:shd w:val="clear" w:color="auto" w:fill="auto"/>
            <w:vAlign w:val="center"/>
          </w:tcPr>
          <w:p w14:paraId="64B9D1F8" w14:textId="3CF0823A" w:rsidR="00017746" w:rsidRPr="00017746" w:rsidRDefault="00017746" w:rsidP="00017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комиссионера (агента) в случае приобретения для комитента (принципала) товара, подлежащего прослеживаемости, у участника оборота товаров, подлежащих прослеживаемости, применяющего специальные налоговые режимы, а также освобожденного от исполнения обязанностей налогоплательщика налога на добавленную стоимость</w:t>
            </w:r>
          </w:p>
          <w:p w14:paraId="47B90430" w14:textId="77777777" w:rsidR="00017746" w:rsidRPr="00017746" w:rsidRDefault="00017746" w:rsidP="00017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D1069F" w14:textId="1FE29143" w:rsidR="007D520E" w:rsidRPr="00B341BF" w:rsidRDefault="00017746" w:rsidP="00017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Только для посреднических операций</w:t>
            </w:r>
          </w:p>
        </w:tc>
        <w:tc>
          <w:tcPr>
            <w:tcW w:w="3544" w:type="dxa"/>
            <w:vAlign w:val="center"/>
          </w:tcPr>
          <w:p w14:paraId="04F7C128" w14:textId="77777777" w:rsidR="007D520E" w:rsidRPr="00D7301D" w:rsidRDefault="007D520E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C52" w:rsidRPr="00D7301D" w14:paraId="40690EBE" w14:textId="77777777" w:rsidTr="00A2144F">
        <w:tblPrEx>
          <w:tblCellMar>
            <w:left w:w="57" w:type="dxa"/>
            <w:right w:w="57" w:type="dxa"/>
          </w:tblCellMar>
        </w:tblPrEx>
        <w:trPr>
          <w:trHeight w:val="1238"/>
        </w:trPr>
        <w:tc>
          <w:tcPr>
            <w:tcW w:w="1481" w:type="dxa"/>
            <w:gridSpan w:val="3"/>
            <w:shd w:val="clear" w:color="auto" w:fill="auto"/>
            <w:noWrap/>
            <w:vAlign w:val="center"/>
          </w:tcPr>
          <w:p w14:paraId="45B662AB" w14:textId="00FBAC98" w:rsidR="000C3C52" w:rsidRPr="00D7301D" w:rsidRDefault="00931AFE" w:rsidP="007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4473" w:type="dxa"/>
            <w:vAlign w:val="center"/>
          </w:tcPr>
          <w:p w14:paraId="00F40F78" w14:textId="0AB55973" w:rsidR="000C3C52" w:rsidRPr="000C3C52" w:rsidRDefault="000C3C52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52">
              <w:rPr>
                <w:rFonts w:ascii="Times New Roman" w:hAnsi="Times New Roman" w:cs="Times New Roman"/>
                <w:sz w:val="28"/>
                <w:szCs w:val="28"/>
              </w:rPr>
              <w:t>Отражение комитентом (принципалом) сведений</w:t>
            </w:r>
            <w:r w:rsidR="009C11E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0C3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C3C52">
              <w:rPr>
                <w:rFonts w:ascii="Times New Roman" w:hAnsi="Times New Roman" w:cs="Times New Roman"/>
                <w:sz w:val="28"/>
                <w:szCs w:val="28"/>
              </w:rPr>
              <w:t>возврате</w:t>
            </w:r>
            <w:proofErr w:type="gramEnd"/>
            <w:r w:rsidRPr="000C3C52">
              <w:rPr>
                <w:rFonts w:ascii="Times New Roman" w:hAnsi="Times New Roman" w:cs="Times New Roman"/>
                <w:sz w:val="28"/>
                <w:szCs w:val="28"/>
              </w:rPr>
              <w:t xml:space="preserve"> товара, приобретенного для него комиссионером (агентом)»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2A55570" w14:textId="30CA3134" w:rsidR="00017746" w:rsidRPr="00D7301D" w:rsidRDefault="00017746" w:rsidP="00017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комитента (принципала) в</w:t>
            </w: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 xml:space="preserve"> случае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приобретения комиссионером (агентом) товара у участника оборота товаров, подлежащих прослеживаемости, применяющего специальный налоговый режим, а также освобожденного</w:t>
            </w: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 xml:space="preserve"> от исполнения обязанностей налогоплательщика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налога на добавленную стоимость</w:t>
            </w:r>
          </w:p>
          <w:p w14:paraId="2E021DCD" w14:textId="0F32BF28" w:rsidR="000C3C52" w:rsidRPr="00B341BF" w:rsidRDefault="00017746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746">
              <w:rPr>
                <w:rFonts w:ascii="Times New Roman" w:hAnsi="Times New Roman" w:cs="Times New Roman"/>
                <w:sz w:val="28"/>
                <w:szCs w:val="28"/>
              </w:rPr>
              <w:t>Только для посреднических операций</w:t>
            </w:r>
          </w:p>
        </w:tc>
        <w:tc>
          <w:tcPr>
            <w:tcW w:w="3544" w:type="dxa"/>
            <w:vAlign w:val="center"/>
          </w:tcPr>
          <w:p w14:paraId="223E0596" w14:textId="77777777" w:rsidR="000C3C52" w:rsidRPr="00D7301D" w:rsidRDefault="000C3C52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46" w:rsidRPr="00D7301D" w14:paraId="3BE5D5EF" w14:textId="77777777" w:rsidTr="00A2144F">
        <w:tblPrEx>
          <w:tblCellMar>
            <w:left w:w="57" w:type="dxa"/>
            <w:right w:w="57" w:type="dxa"/>
          </w:tblCellMar>
        </w:tblPrEx>
        <w:trPr>
          <w:trHeight w:val="1238"/>
        </w:trPr>
        <w:tc>
          <w:tcPr>
            <w:tcW w:w="1481" w:type="dxa"/>
            <w:gridSpan w:val="3"/>
            <w:shd w:val="clear" w:color="auto" w:fill="auto"/>
            <w:noWrap/>
            <w:vAlign w:val="center"/>
          </w:tcPr>
          <w:p w14:paraId="6D0BBD9E" w14:textId="5218E29D" w:rsidR="00017746" w:rsidRPr="00D7301D" w:rsidRDefault="00931AFE" w:rsidP="007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473" w:type="dxa"/>
            <w:vAlign w:val="center"/>
          </w:tcPr>
          <w:p w14:paraId="76764271" w14:textId="623B8757" w:rsidR="00017746" w:rsidRPr="000C3C52" w:rsidRDefault="00017746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746">
              <w:rPr>
                <w:rFonts w:ascii="Times New Roman" w:hAnsi="Times New Roman" w:cs="Times New Roman"/>
                <w:sz w:val="28"/>
                <w:szCs w:val="28"/>
              </w:rPr>
              <w:t>Отражение комиссионером (агентом)  передачу сведений о реализации комиссионером (агентом), действующим от своего имени и в интересах комитента (</w:t>
            </w:r>
            <w:r w:rsidR="009C11E1">
              <w:rPr>
                <w:rFonts w:ascii="Times New Roman" w:hAnsi="Times New Roman" w:cs="Times New Roman"/>
                <w:sz w:val="28"/>
                <w:szCs w:val="28"/>
              </w:rPr>
              <w:t>принципала)</w:t>
            </w:r>
            <w:r w:rsidRPr="000177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1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746">
              <w:rPr>
                <w:rFonts w:ascii="Times New Roman" w:hAnsi="Times New Roman" w:cs="Times New Roman"/>
                <w:sz w:val="28"/>
                <w:szCs w:val="28"/>
              </w:rPr>
              <w:t xml:space="preserve">товара комитента (принципала) физическим лицам для личных, семейных, домашних и иных, не связанных с предпринимательской </w:t>
            </w:r>
            <w:r w:rsidRPr="00017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деятельностью, нужд, а также налогоплательщикам налога на профессиональный доход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6701B7B" w14:textId="77777777" w:rsidR="00017746" w:rsidRDefault="00017746" w:rsidP="00017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7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комиссионера (агента) при реализации товаров, подлежащих прослеживаемости, комитента (принципала) физическим лицам, </w:t>
            </w:r>
            <w:r w:rsidRPr="00017746">
              <w:rPr>
                <w:rFonts w:ascii="Times New Roman" w:hAnsi="Times New Roman" w:cs="Times New Roman"/>
                <w:sz w:val="28"/>
                <w:szCs w:val="28"/>
              </w:rPr>
              <w:t xml:space="preserve"> для личных, семейных, домашних и иных, не связанных с предпринимательской деятельностью, нужд, а также налогоплательщикам налога на профессиональный доход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14:paraId="35DB0AF0" w14:textId="77777777" w:rsidR="00017746" w:rsidRDefault="00017746" w:rsidP="00017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DFE668" w14:textId="28DC171B" w:rsidR="00017746" w:rsidRDefault="00017746" w:rsidP="00017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Только для посреднических операций</w:t>
            </w:r>
          </w:p>
        </w:tc>
        <w:tc>
          <w:tcPr>
            <w:tcW w:w="3544" w:type="dxa"/>
            <w:vAlign w:val="center"/>
          </w:tcPr>
          <w:p w14:paraId="7596F946" w14:textId="77777777" w:rsidR="00017746" w:rsidRPr="00D7301D" w:rsidRDefault="00017746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46" w:rsidRPr="00D7301D" w14:paraId="6A8A73D0" w14:textId="77777777" w:rsidTr="00A2144F">
        <w:tblPrEx>
          <w:tblCellMar>
            <w:left w:w="57" w:type="dxa"/>
            <w:right w:w="57" w:type="dxa"/>
          </w:tblCellMar>
        </w:tblPrEx>
        <w:trPr>
          <w:trHeight w:val="1238"/>
        </w:trPr>
        <w:tc>
          <w:tcPr>
            <w:tcW w:w="1481" w:type="dxa"/>
            <w:gridSpan w:val="3"/>
            <w:shd w:val="clear" w:color="auto" w:fill="auto"/>
            <w:noWrap/>
            <w:vAlign w:val="center"/>
          </w:tcPr>
          <w:p w14:paraId="7B4D140D" w14:textId="1FBA7F00" w:rsidR="00017746" w:rsidRPr="00D7301D" w:rsidRDefault="00931AFE" w:rsidP="007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4473" w:type="dxa"/>
            <w:vAlign w:val="center"/>
          </w:tcPr>
          <w:p w14:paraId="57073BF2" w14:textId="5C2CD9E1" w:rsidR="00017746" w:rsidRPr="000C3C52" w:rsidRDefault="00017746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746">
              <w:rPr>
                <w:rFonts w:ascii="Times New Roman" w:hAnsi="Times New Roman" w:cs="Times New Roman"/>
                <w:sz w:val="28"/>
                <w:szCs w:val="28"/>
              </w:rPr>
              <w:t>Отражение комитентом (принципалом) получения сведений о реализации комиссионером (агентом), действующим от своего имени и в интересах комитента (принципала), товара комитента (принципала) физическим лицам для личных, семейных, домашних и иных, не связанных с предпринимательской деятельностью, нужд, а также налогоплательщикам налога на профессиональный доход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E6F3BC8" w14:textId="77777777" w:rsidR="00017746" w:rsidRDefault="00017746" w:rsidP="00017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комитента (принципала) в</w:t>
            </w: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 xml:space="preserve"> случае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товаров, подлежащих прослеживаемости, через комиссионера (агента) физическим лицам, </w:t>
            </w:r>
            <w:r w:rsidRPr="00017746">
              <w:rPr>
                <w:rFonts w:ascii="Times New Roman" w:hAnsi="Times New Roman" w:cs="Times New Roman"/>
                <w:sz w:val="28"/>
                <w:szCs w:val="28"/>
              </w:rPr>
              <w:t xml:space="preserve"> для личных, семейных, домашних и иных, не связанных с предпринимательской деятельностью, нужд, а также налогоплательщикам налога на профессиональный доход</w:t>
            </w:r>
          </w:p>
          <w:p w14:paraId="4B938B1B" w14:textId="2C551A62" w:rsidR="00017746" w:rsidRDefault="00017746" w:rsidP="00017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746">
              <w:rPr>
                <w:rFonts w:ascii="Times New Roman" w:hAnsi="Times New Roman" w:cs="Times New Roman"/>
                <w:sz w:val="28"/>
                <w:szCs w:val="28"/>
              </w:rPr>
              <w:t>Только для посреднических операций</w:t>
            </w:r>
          </w:p>
        </w:tc>
        <w:tc>
          <w:tcPr>
            <w:tcW w:w="3544" w:type="dxa"/>
            <w:vAlign w:val="center"/>
          </w:tcPr>
          <w:p w14:paraId="764C5CA1" w14:textId="77777777" w:rsidR="00017746" w:rsidRPr="00D7301D" w:rsidRDefault="00017746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46" w:rsidRPr="00D7301D" w14:paraId="03B5EC45" w14:textId="77777777" w:rsidTr="00A2144F">
        <w:tblPrEx>
          <w:tblCellMar>
            <w:left w:w="57" w:type="dxa"/>
            <w:right w:w="57" w:type="dxa"/>
          </w:tblCellMar>
        </w:tblPrEx>
        <w:trPr>
          <w:trHeight w:val="1238"/>
        </w:trPr>
        <w:tc>
          <w:tcPr>
            <w:tcW w:w="1481" w:type="dxa"/>
            <w:gridSpan w:val="3"/>
            <w:shd w:val="clear" w:color="auto" w:fill="auto"/>
            <w:noWrap/>
            <w:vAlign w:val="center"/>
          </w:tcPr>
          <w:p w14:paraId="70E7656B" w14:textId="50A6D966" w:rsidR="00017746" w:rsidRPr="00D7301D" w:rsidRDefault="00931AFE" w:rsidP="007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73" w:type="dxa"/>
            <w:vAlign w:val="center"/>
          </w:tcPr>
          <w:p w14:paraId="782AB2E1" w14:textId="1694152B" w:rsidR="00017746" w:rsidRPr="00017746" w:rsidRDefault="00017746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7746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комиссионером (агентом) сведений о возврате покупателем - физическим лицом, приобретающим товар для личных, семейных, домашних и иных, не связанных с предпринимательской деятельностью, нужд, а также </w:t>
            </w:r>
            <w:r w:rsidRPr="00017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налогоплательщиком налога на профессиональный доход ранее реализованных комиссионером (агентом)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товаров комитента (принципала)</w:t>
            </w:r>
            <w:proofErr w:type="gramEnd"/>
          </w:p>
        </w:tc>
        <w:tc>
          <w:tcPr>
            <w:tcW w:w="5670" w:type="dxa"/>
            <w:shd w:val="clear" w:color="auto" w:fill="auto"/>
            <w:vAlign w:val="center"/>
          </w:tcPr>
          <w:p w14:paraId="27306E6B" w14:textId="77777777" w:rsidR="00017746" w:rsidRDefault="00017746" w:rsidP="00017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7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комиссионера (агента) при реализации товаров, подлежащих прослеживаемости, комитента (принципала) физическим лицам, </w:t>
            </w:r>
            <w:r w:rsidRPr="00017746">
              <w:rPr>
                <w:rFonts w:ascii="Times New Roman" w:hAnsi="Times New Roman" w:cs="Times New Roman"/>
                <w:sz w:val="28"/>
                <w:szCs w:val="28"/>
              </w:rPr>
              <w:t xml:space="preserve"> для личных, семейных, домашних и иных, не связанных с предпринимательской деятельностью, нужд, а также налогоплательщикам налога на </w:t>
            </w:r>
            <w:r w:rsidRPr="00017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профессиональный доход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14:paraId="0808CD06" w14:textId="77777777" w:rsidR="00017746" w:rsidRDefault="00017746" w:rsidP="00017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1D4911" w14:textId="54AE23F7" w:rsidR="00017746" w:rsidRDefault="00017746" w:rsidP="00017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746">
              <w:rPr>
                <w:rFonts w:ascii="Times New Roman" w:hAnsi="Times New Roman" w:cs="Times New Roman"/>
                <w:sz w:val="28"/>
                <w:szCs w:val="28"/>
              </w:rPr>
              <w:t>Только для посреднических операций</w:t>
            </w:r>
          </w:p>
        </w:tc>
        <w:tc>
          <w:tcPr>
            <w:tcW w:w="3544" w:type="dxa"/>
            <w:vAlign w:val="center"/>
          </w:tcPr>
          <w:p w14:paraId="1388D73D" w14:textId="77777777" w:rsidR="00017746" w:rsidRPr="00D7301D" w:rsidRDefault="00017746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46" w:rsidRPr="00D7301D" w14:paraId="2ED312DC" w14:textId="77777777" w:rsidTr="00A2144F">
        <w:tblPrEx>
          <w:tblCellMar>
            <w:left w:w="57" w:type="dxa"/>
            <w:right w:w="57" w:type="dxa"/>
          </w:tblCellMar>
        </w:tblPrEx>
        <w:trPr>
          <w:trHeight w:val="1238"/>
        </w:trPr>
        <w:tc>
          <w:tcPr>
            <w:tcW w:w="1481" w:type="dxa"/>
            <w:gridSpan w:val="3"/>
            <w:shd w:val="clear" w:color="auto" w:fill="auto"/>
            <w:noWrap/>
            <w:vAlign w:val="center"/>
          </w:tcPr>
          <w:p w14:paraId="7535D3E0" w14:textId="2BEEF2F3" w:rsidR="00017746" w:rsidRPr="00D7301D" w:rsidRDefault="00931AFE" w:rsidP="007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4473" w:type="dxa"/>
            <w:vAlign w:val="center"/>
          </w:tcPr>
          <w:p w14:paraId="2D0E3D26" w14:textId="30C97DEC" w:rsidR="00017746" w:rsidRPr="00017746" w:rsidRDefault="00017746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7746">
              <w:rPr>
                <w:rFonts w:ascii="Times New Roman" w:hAnsi="Times New Roman" w:cs="Times New Roman"/>
                <w:sz w:val="28"/>
                <w:szCs w:val="28"/>
              </w:rPr>
              <w:t>Получение комитентом (принципалом) сведений о  возврате покупателем - физическим лицом, приобретающим товар для личных, семейных, домашних и иных, не связанных с предпринимательской деятельностью, нужд, а также налогоплательщиком налога на профессиональный доход ранее реализованных комиссионером (агентом) товаров комитента (принципа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ла)</w:t>
            </w:r>
            <w:proofErr w:type="gramEnd"/>
          </w:p>
        </w:tc>
        <w:tc>
          <w:tcPr>
            <w:tcW w:w="5670" w:type="dxa"/>
            <w:shd w:val="clear" w:color="auto" w:fill="auto"/>
            <w:vAlign w:val="center"/>
          </w:tcPr>
          <w:p w14:paraId="30157818" w14:textId="77777777" w:rsidR="00017746" w:rsidRDefault="00017746" w:rsidP="00017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комитента (принципала) в</w:t>
            </w:r>
            <w:r w:rsidRPr="00D7301D">
              <w:rPr>
                <w:rFonts w:ascii="Times New Roman" w:hAnsi="Times New Roman" w:cs="Times New Roman"/>
                <w:sz w:val="28"/>
                <w:szCs w:val="28"/>
              </w:rPr>
              <w:t xml:space="preserve"> случае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товаров, подлежащих прослеживаемости, через комиссионера (агента) физическим лицам, </w:t>
            </w:r>
            <w:r w:rsidRPr="00017746">
              <w:rPr>
                <w:rFonts w:ascii="Times New Roman" w:hAnsi="Times New Roman" w:cs="Times New Roman"/>
                <w:sz w:val="28"/>
                <w:szCs w:val="28"/>
              </w:rPr>
              <w:t xml:space="preserve"> для личных, семейных, домашних и иных, не связанных с предпринимательской деятельностью, нужд, а также налогоплательщикам налога на профессиональный доход</w:t>
            </w:r>
          </w:p>
          <w:p w14:paraId="164CAF8D" w14:textId="42ACF9ED" w:rsidR="00017746" w:rsidRDefault="00017746" w:rsidP="00017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746">
              <w:rPr>
                <w:rFonts w:ascii="Times New Roman" w:hAnsi="Times New Roman" w:cs="Times New Roman"/>
                <w:sz w:val="28"/>
                <w:szCs w:val="28"/>
              </w:rPr>
              <w:t>Только для посреднических операций</w:t>
            </w:r>
          </w:p>
        </w:tc>
        <w:tc>
          <w:tcPr>
            <w:tcW w:w="3544" w:type="dxa"/>
            <w:vAlign w:val="center"/>
          </w:tcPr>
          <w:p w14:paraId="16F77869" w14:textId="77777777" w:rsidR="00017746" w:rsidRPr="00D7301D" w:rsidRDefault="00017746" w:rsidP="00D73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4262BA" w14:textId="0EC33AA4" w:rsidR="004E251C" w:rsidRPr="00273B5A" w:rsidRDefault="004E251C" w:rsidP="00351F7C">
      <w:pPr>
        <w:pStyle w:val="ConsPlusNormal"/>
        <w:spacing w:before="120" w:after="120"/>
        <w:jc w:val="both"/>
        <w:rPr>
          <w:rFonts w:ascii="Times New Roman" w:hAnsi="Times New Roman" w:cs="Times New Roman"/>
          <w:sz w:val="28"/>
          <w:szCs w:val="28"/>
        </w:rPr>
        <w:sectPr w:rsidR="004E251C" w:rsidRPr="00273B5A" w:rsidSect="00D7615D">
          <w:footnotePr>
            <w:numRestart w:val="eachPage"/>
          </w:footnotePr>
          <w:pgSz w:w="16838" w:h="11906" w:orient="landscape"/>
          <w:pgMar w:top="1418" w:right="1134" w:bottom="850" w:left="709" w:header="708" w:footer="708" w:gutter="0"/>
          <w:cols w:space="708"/>
          <w:docGrid w:linePitch="360"/>
        </w:sectPr>
      </w:pPr>
    </w:p>
    <w:p w14:paraId="28D25F79" w14:textId="053AAAF9" w:rsidR="00D7615D" w:rsidRPr="00E7107A" w:rsidRDefault="00D7615D" w:rsidP="00B04A21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7107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03E31" w:rsidRPr="00E7107A">
        <w:rPr>
          <w:rFonts w:ascii="Times New Roman" w:hAnsi="Times New Roman" w:cs="Times New Roman"/>
          <w:sz w:val="24"/>
          <w:szCs w:val="24"/>
        </w:rPr>
        <w:t>№</w:t>
      </w:r>
      <w:r w:rsidRPr="00E7107A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4D2C27B6" w14:textId="52071328" w:rsidR="00D7615D" w:rsidRPr="00E7107A" w:rsidRDefault="00D7615D" w:rsidP="00B04A21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7107A">
        <w:rPr>
          <w:rFonts w:ascii="Times New Roman" w:hAnsi="Times New Roman" w:cs="Times New Roman"/>
          <w:sz w:val="24"/>
          <w:szCs w:val="24"/>
        </w:rPr>
        <w:t>к Порядку за</w:t>
      </w:r>
      <w:r w:rsidR="00B04A21">
        <w:rPr>
          <w:rFonts w:ascii="Times New Roman" w:hAnsi="Times New Roman" w:cs="Times New Roman"/>
          <w:sz w:val="24"/>
          <w:szCs w:val="24"/>
        </w:rPr>
        <w:t>полнения отчета об операциях</w:t>
      </w:r>
      <w:r w:rsidRPr="00E7107A">
        <w:rPr>
          <w:rFonts w:ascii="Times New Roman" w:hAnsi="Times New Roman" w:cs="Times New Roman"/>
          <w:sz w:val="24"/>
          <w:szCs w:val="24"/>
        </w:rPr>
        <w:t xml:space="preserve"> </w:t>
      </w:r>
      <w:r w:rsidR="00B04A21">
        <w:rPr>
          <w:rFonts w:ascii="Times New Roman" w:hAnsi="Times New Roman" w:cs="Times New Roman"/>
          <w:sz w:val="24"/>
          <w:szCs w:val="24"/>
        </w:rPr>
        <w:t>с </w:t>
      </w:r>
      <w:r w:rsidRPr="00E7107A">
        <w:rPr>
          <w:rFonts w:ascii="Times New Roman" w:hAnsi="Times New Roman" w:cs="Times New Roman"/>
          <w:sz w:val="24"/>
          <w:szCs w:val="24"/>
        </w:rPr>
        <w:t>товарами, подлежащими прослеживаемости</w:t>
      </w:r>
    </w:p>
    <w:p w14:paraId="7CCC3DF2" w14:textId="77777777" w:rsidR="00760236" w:rsidRPr="00273B5A" w:rsidRDefault="00760236" w:rsidP="00D761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1FC554C" w14:textId="77777777" w:rsidR="00A655FA" w:rsidRPr="00273B5A" w:rsidRDefault="00A655FA" w:rsidP="00A65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6118D4" w14:textId="77777777" w:rsidR="00A655FA" w:rsidRPr="00273B5A" w:rsidRDefault="00A655FA" w:rsidP="00A655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853"/>
      <w:bookmarkEnd w:id="2"/>
      <w:r w:rsidRPr="00273B5A">
        <w:rPr>
          <w:rFonts w:ascii="Times New Roman" w:hAnsi="Times New Roman" w:cs="Times New Roman"/>
          <w:sz w:val="28"/>
          <w:szCs w:val="28"/>
        </w:rPr>
        <w:t>КОДЫ СУБЪЕКТОВ РОССИЙСКОЙ ФЕДЕРАЦИИ</w:t>
      </w:r>
    </w:p>
    <w:p w14:paraId="00025D27" w14:textId="77777777" w:rsidR="00A655FA" w:rsidRPr="00273B5A" w:rsidRDefault="00A655FA" w:rsidP="00A65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8940"/>
      </w:tblGrid>
      <w:tr w:rsidR="00A655FA" w:rsidRPr="00273B5A" w14:paraId="199F64C6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565D" w14:textId="77777777" w:rsidR="00A655FA" w:rsidRPr="00273B5A" w:rsidRDefault="00A655FA" w:rsidP="00126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2CA4" w14:textId="77777777" w:rsidR="00A655FA" w:rsidRPr="00273B5A" w:rsidRDefault="00A655FA" w:rsidP="00126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A655FA" w:rsidRPr="00273B5A" w14:paraId="7B5B761D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C790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ABAA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Республика Адыгея (Адыгея)</w:t>
            </w:r>
          </w:p>
        </w:tc>
      </w:tr>
      <w:tr w:rsidR="00A655FA" w:rsidRPr="00273B5A" w14:paraId="6B9E9A10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432C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ECF0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</w:tr>
      <w:tr w:rsidR="00A655FA" w:rsidRPr="00273B5A" w14:paraId="0B6041C8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40CA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4B4B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</w:tc>
      </w:tr>
      <w:tr w:rsidR="00A655FA" w:rsidRPr="00273B5A" w14:paraId="50A93314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5EB7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49C7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</w:tc>
      </w:tr>
      <w:tr w:rsidR="00A655FA" w:rsidRPr="00273B5A" w14:paraId="04A3E68A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73AA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FBBB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Республика Дагестан</w:t>
            </w:r>
          </w:p>
        </w:tc>
      </w:tr>
      <w:tr w:rsidR="00A655FA" w:rsidRPr="00273B5A" w14:paraId="2309F895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F90D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350D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Республика Ингушетия</w:t>
            </w:r>
          </w:p>
        </w:tc>
      </w:tr>
      <w:tr w:rsidR="00A655FA" w:rsidRPr="00273B5A" w14:paraId="323046A4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4332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B18E" w14:textId="2843A6AA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Кабардино</w:t>
            </w:r>
            <w:proofErr w:type="spellEnd"/>
            <w:r w:rsidR="00C830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Балкарская Республика</w:t>
            </w:r>
          </w:p>
        </w:tc>
      </w:tr>
      <w:tr w:rsidR="00A655FA" w:rsidRPr="00273B5A" w14:paraId="6FF1300F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C1F2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1583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Республика Калмыкия</w:t>
            </w:r>
          </w:p>
        </w:tc>
      </w:tr>
      <w:tr w:rsidR="00A655FA" w:rsidRPr="00273B5A" w14:paraId="42F4F804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A337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40E1" w14:textId="1146B9AC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Карачаево</w:t>
            </w:r>
            <w:proofErr w:type="spellEnd"/>
            <w:r w:rsidR="00C830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Черкесская Республика</w:t>
            </w:r>
          </w:p>
        </w:tc>
      </w:tr>
      <w:tr w:rsidR="00A655FA" w:rsidRPr="00273B5A" w14:paraId="3199AB83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8A18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8FFC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Республика Карелия</w:t>
            </w:r>
          </w:p>
        </w:tc>
      </w:tr>
      <w:tr w:rsidR="00A655FA" w:rsidRPr="00273B5A" w14:paraId="167CCF03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88D1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BE06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Республика Коми</w:t>
            </w:r>
          </w:p>
        </w:tc>
      </w:tr>
      <w:tr w:rsidR="00A655FA" w:rsidRPr="00273B5A" w14:paraId="3F359A08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6FF8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5AAE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Республика Марий Эл</w:t>
            </w:r>
          </w:p>
        </w:tc>
      </w:tr>
      <w:tr w:rsidR="00A655FA" w:rsidRPr="00273B5A" w14:paraId="4D398145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F010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5069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Республика Мордовия</w:t>
            </w:r>
          </w:p>
        </w:tc>
      </w:tr>
      <w:tr w:rsidR="00A655FA" w:rsidRPr="00273B5A" w14:paraId="309CD62B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0597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3D4F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</w:tr>
      <w:tr w:rsidR="00A655FA" w:rsidRPr="00273B5A" w14:paraId="0385322D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FAA1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9F25" w14:textId="7B522FA4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Северная Осетия </w:t>
            </w:r>
            <w:r w:rsidR="00C830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 xml:space="preserve"> Алания</w:t>
            </w:r>
          </w:p>
        </w:tc>
      </w:tr>
      <w:tr w:rsidR="00A655FA" w:rsidRPr="00273B5A" w14:paraId="243709AA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92D5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CED8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 (Татарстан)</w:t>
            </w:r>
          </w:p>
        </w:tc>
      </w:tr>
      <w:tr w:rsidR="00A655FA" w:rsidRPr="00273B5A" w14:paraId="410FCEA6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8663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76AD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Республика Тыва</w:t>
            </w:r>
          </w:p>
        </w:tc>
      </w:tr>
      <w:tr w:rsidR="00A655FA" w:rsidRPr="00273B5A" w14:paraId="766ACE79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7D44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4DB5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Удмуртская Республика</w:t>
            </w:r>
          </w:p>
        </w:tc>
      </w:tr>
      <w:tr w:rsidR="00A655FA" w:rsidRPr="00273B5A" w14:paraId="131E62FF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0139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EA76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Республика Хакасия</w:t>
            </w:r>
          </w:p>
        </w:tc>
      </w:tr>
      <w:tr w:rsidR="00A655FA" w:rsidRPr="00273B5A" w14:paraId="0D544DAC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97F9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DBF0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Чеченская Республика</w:t>
            </w:r>
          </w:p>
        </w:tc>
      </w:tr>
      <w:tr w:rsidR="00A655FA" w:rsidRPr="00273B5A" w14:paraId="5594D20F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7DE6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C628" w14:textId="1BB225DB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 xml:space="preserve">Чувашская Республика </w:t>
            </w:r>
            <w:r w:rsidR="00C830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 xml:space="preserve"> Чувашия</w:t>
            </w:r>
          </w:p>
        </w:tc>
      </w:tr>
      <w:tr w:rsidR="00A655FA" w:rsidRPr="00273B5A" w14:paraId="33DD3317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6802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F768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Алтайский край</w:t>
            </w:r>
          </w:p>
        </w:tc>
      </w:tr>
      <w:tr w:rsidR="00A655FA" w:rsidRPr="00273B5A" w14:paraId="2C87AF9F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B8D2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245B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</w:tr>
      <w:tr w:rsidR="00A655FA" w:rsidRPr="00273B5A" w14:paraId="0A179D1F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2447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9681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</w:tr>
      <w:tr w:rsidR="00A655FA" w:rsidRPr="00273B5A" w14:paraId="21EB10F1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61F6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00F3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</w:tr>
      <w:tr w:rsidR="00A655FA" w:rsidRPr="00273B5A" w14:paraId="108F7DFF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BCE7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C21B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</w:tr>
      <w:tr w:rsidR="00A655FA" w:rsidRPr="00273B5A" w14:paraId="0140AC1E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6099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B9EE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</w:tr>
      <w:tr w:rsidR="00A655FA" w:rsidRPr="00273B5A" w14:paraId="7F34E9EA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A768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1694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Амурская область</w:t>
            </w:r>
          </w:p>
        </w:tc>
      </w:tr>
      <w:tr w:rsidR="00A655FA" w:rsidRPr="00273B5A" w14:paraId="1EB6FC83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BCC5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8C15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</w:t>
            </w:r>
          </w:p>
        </w:tc>
      </w:tr>
      <w:tr w:rsidR="00A655FA" w:rsidRPr="00273B5A" w14:paraId="7D936E83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33B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DFE1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</w:t>
            </w:r>
          </w:p>
        </w:tc>
      </w:tr>
      <w:tr w:rsidR="00A655FA" w:rsidRPr="00273B5A" w14:paraId="726A4791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8524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6429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</w:tr>
      <w:tr w:rsidR="00A655FA" w:rsidRPr="00273B5A" w14:paraId="386FEB02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7B3C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ACD9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</w:tr>
      <w:tr w:rsidR="00A655FA" w:rsidRPr="00273B5A" w14:paraId="6DF32D29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6DF7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6616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Владимирская область</w:t>
            </w:r>
          </w:p>
        </w:tc>
      </w:tr>
      <w:tr w:rsidR="00A655FA" w:rsidRPr="00273B5A" w14:paraId="0B75A497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6F90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AFEB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</w:t>
            </w:r>
          </w:p>
        </w:tc>
      </w:tr>
      <w:tr w:rsidR="00A655FA" w:rsidRPr="00273B5A" w14:paraId="68C331AB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DCA5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6AB9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Вологодская область</w:t>
            </w:r>
          </w:p>
        </w:tc>
      </w:tr>
      <w:tr w:rsidR="00A655FA" w:rsidRPr="00273B5A" w14:paraId="1F31B24B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4DA1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F188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Воронежская область</w:t>
            </w:r>
          </w:p>
        </w:tc>
      </w:tr>
      <w:tr w:rsidR="00A655FA" w:rsidRPr="00273B5A" w14:paraId="102C916C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B073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1761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Ивановская область</w:t>
            </w:r>
          </w:p>
        </w:tc>
      </w:tr>
      <w:tr w:rsidR="00A655FA" w:rsidRPr="00273B5A" w14:paraId="0A850859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A405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161D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</w:tr>
      <w:tr w:rsidR="00A655FA" w:rsidRPr="00273B5A" w14:paraId="75AFCD2A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F1A4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EC2A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</w:t>
            </w:r>
          </w:p>
        </w:tc>
      </w:tr>
      <w:tr w:rsidR="00A655FA" w:rsidRPr="00273B5A" w14:paraId="50C7D33A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B027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B795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Калужская область</w:t>
            </w:r>
          </w:p>
        </w:tc>
      </w:tr>
      <w:tr w:rsidR="00A655FA" w:rsidRPr="00273B5A" w14:paraId="7CE464B1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3AE7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79CD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Камчатский край</w:t>
            </w:r>
          </w:p>
        </w:tc>
      </w:tr>
      <w:tr w:rsidR="00A655FA" w:rsidRPr="00273B5A" w14:paraId="2391A27D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D57B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C134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Кемеровская область</w:t>
            </w:r>
          </w:p>
        </w:tc>
      </w:tr>
      <w:tr w:rsidR="00A655FA" w:rsidRPr="00273B5A" w14:paraId="793277B2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4A89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3B4A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A655FA" w:rsidRPr="00273B5A" w14:paraId="2E1A2CDD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E492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8717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Костромская область</w:t>
            </w:r>
          </w:p>
        </w:tc>
      </w:tr>
      <w:tr w:rsidR="00A655FA" w:rsidRPr="00273B5A" w14:paraId="3F98FD04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D3E8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38E9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Курганская область</w:t>
            </w:r>
          </w:p>
        </w:tc>
      </w:tr>
      <w:tr w:rsidR="00A655FA" w:rsidRPr="00273B5A" w14:paraId="136C14F0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4909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BC28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Курская область</w:t>
            </w:r>
          </w:p>
        </w:tc>
      </w:tr>
      <w:tr w:rsidR="00A655FA" w:rsidRPr="00273B5A" w14:paraId="7A989FAF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FCD3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08FD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</w:tr>
      <w:tr w:rsidR="00A655FA" w:rsidRPr="00273B5A" w14:paraId="7D9B0592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EB3E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8E4D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Липецкая область</w:t>
            </w:r>
          </w:p>
        </w:tc>
      </w:tr>
      <w:tr w:rsidR="00A655FA" w:rsidRPr="00273B5A" w14:paraId="099EAC5F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BDEE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3218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Магаданская область</w:t>
            </w:r>
          </w:p>
        </w:tc>
      </w:tr>
      <w:tr w:rsidR="00A655FA" w:rsidRPr="00273B5A" w14:paraId="42E5F0F5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707C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12D2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</w:tr>
      <w:tr w:rsidR="00A655FA" w:rsidRPr="00273B5A" w14:paraId="36FCD281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CBC9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9D43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Мурманская область</w:t>
            </w:r>
          </w:p>
        </w:tc>
      </w:tr>
      <w:tr w:rsidR="00A655FA" w:rsidRPr="00273B5A" w14:paraId="11344551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7D6D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7AEA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</w:tc>
      </w:tr>
      <w:tr w:rsidR="00A655FA" w:rsidRPr="00273B5A" w14:paraId="43465AC0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F3E4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45E6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Новгородская область</w:t>
            </w:r>
          </w:p>
        </w:tc>
      </w:tr>
      <w:tr w:rsidR="00A655FA" w:rsidRPr="00273B5A" w14:paraId="28431AF8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5B8D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2E55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</w:tr>
      <w:tr w:rsidR="00A655FA" w:rsidRPr="00273B5A" w14:paraId="01257490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5664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F9F1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</w:p>
        </w:tc>
      </w:tr>
      <w:tr w:rsidR="00A655FA" w:rsidRPr="00273B5A" w14:paraId="0680AB29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5BE8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917A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</w:tr>
      <w:tr w:rsidR="00A655FA" w:rsidRPr="00273B5A" w14:paraId="5297C5F9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F7B6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B899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Орловская область</w:t>
            </w:r>
          </w:p>
        </w:tc>
      </w:tr>
      <w:tr w:rsidR="00A655FA" w:rsidRPr="00273B5A" w14:paraId="75B61DFA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B168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B55A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Пензенская область</w:t>
            </w:r>
          </w:p>
        </w:tc>
      </w:tr>
      <w:tr w:rsidR="00A655FA" w:rsidRPr="00273B5A" w14:paraId="52ACAAB7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E951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BF09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</w:tc>
      </w:tr>
      <w:tr w:rsidR="00A655FA" w:rsidRPr="00273B5A" w14:paraId="396D05B1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FE6E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9489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Псковская область</w:t>
            </w:r>
          </w:p>
        </w:tc>
      </w:tr>
      <w:tr w:rsidR="00A655FA" w:rsidRPr="00273B5A" w14:paraId="0D476146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1A70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0AF0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</w:tr>
      <w:tr w:rsidR="00A655FA" w:rsidRPr="00273B5A" w14:paraId="7F8EB2AD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63DE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0048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</w:tc>
      </w:tr>
      <w:tr w:rsidR="00A655FA" w:rsidRPr="00273B5A" w14:paraId="69B5CF10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A5F7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A5D0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A655FA" w:rsidRPr="00273B5A" w14:paraId="36A00929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82FB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E625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Саратовская область</w:t>
            </w:r>
          </w:p>
        </w:tc>
      </w:tr>
      <w:tr w:rsidR="00A655FA" w:rsidRPr="00273B5A" w14:paraId="04C0B738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3D11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807C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Сахалинская область</w:t>
            </w:r>
          </w:p>
        </w:tc>
      </w:tr>
      <w:tr w:rsidR="00A655FA" w:rsidRPr="00273B5A" w14:paraId="22A193BE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8C3A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7656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</w:tr>
      <w:tr w:rsidR="00A655FA" w:rsidRPr="00273B5A" w14:paraId="4F95F723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92FA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4814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A655FA" w:rsidRPr="00273B5A" w14:paraId="0B93AE2A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EBAE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569E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Тамбовская область</w:t>
            </w:r>
          </w:p>
        </w:tc>
      </w:tr>
      <w:tr w:rsidR="00A655FA" w:rsidRPr="00273B5A" w14:paraId="779E3F56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2EAA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0C72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Тверская область</w:t>
            </w:r>
          </w:p>
        </w:tc>
      </w:tr>
      <w:tr w:rsidR="00A655FA" w:rsidRPr="00273B5A" w14:paraId="5D3F8B80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C2DA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DB5F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Томская область</w:t>
            </w:r>
          </w:p>
        </w:tc>
      </w:tr>
      <w:tr w:rsidR="00A655FA" w:rsidRPr="00273B5A" w14:paraId="70EFB067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8BFB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1E43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Тульская область</w:t>
            </w:r>
          </w:p>
        </w:tc>
      </w:tr>
      <w:tr w:rsidR="00A655FA" w:rsidRPr="00273B5A" w14:paraId="3E34187D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44DF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F6C1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</w:tc>
      </w:tr>
      <w:tr w:rsidR="00A655FA" w:rsidRPr="00273B5A" w14:paraId="62C8A057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4D19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A22E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Ульяновская область</w:t>
            </w:r>
          </w:p>
        </w:tc>
      </w:tr>
      <w:tr w:rsidR="00A655FA" w:rsidRPr="00273B5A" w14:paraId="2A7DF372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1D72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7135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</w:tr>
      <w:tr w:rsidR="00A655FA" w:rsidRPr="00273B5A" w14:paraId="6B0B8E14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1330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E9D0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</w:tc>
      </w:tr>
      <w:tr w:rsidR="00A655FA" w:rsidRPr="00273B5A" w14:paraId="72BE9AF7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73FA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0813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Ярославская область</w:t>
            </w:r>
          </w:p>
        </w:tc>
      </w:tr>
      <w:tr w:rsidR="00A655FA" w:rsidRPr="00273B5A" w14:paraId="794C81C9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DC4F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8FCE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</w:tr>
      <w:tr w:rsidR="00A655FA" w:rsidRPr="00273B5A" w14:paraId="02C27C82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05D1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D7E6" w14:textId="1D7C9250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г. Санкт</w:t>
            </w:r>
            <w:r w:rsidR="00C830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Петербург</w:t>
            </w:r>
          </w:p>
        </w:tc>
      </w:tr>
      <w:tr w:rsidR="00A655FA" w:rsidRPr="00273B5A" w14:paraId="20FEB43F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348E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27AC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Еврейская автономная область</w:t>
            </w:r>
          </w:p>
        </w:tc>
      </w:tr>
      <w:tr w:rsidR="00A655FA" w:rsidRPr="00273B5A" w14:paraId="0DA975FA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A8A8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1F80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Ненецкий автономный округ</w:t>
            </w:r>
          </w:p>
        </w:tc>
      </w:tr>
      <w:tr w:rsidR="00A655FA" w:rsidRPr="00273B5A" w14:paraId="5EAAEFAC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B0B1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4AF9" w14:textId="52AE13F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Ханты</w:t>
            </w:r>
            <w:r w:rsidR="00C830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 xml:space="preserve">Мансийский автономный округ </w:t>
            </w:r>
            <w:r w:rsidR="00C830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 xml:space="preserve"> Югра</w:t>
            </w:r>
          </w:p>
        </w:tc>
      </w:tr>
      <w:tr w:rsidR="00A655FA" w:rsidRPr="00273B5A" w14:paraId="17E42BA1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82AF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4E51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Чукотский автономный округ</w:t>
            </w:r>
          </w:p>
        </w:tc>
      </w:tr>
      <w:tr w:rsidR="00A655FA" w:rsidRPr="00273B5A" w14:paraId="2F0A40AB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8DCA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511B" w14:textId="7D3258AF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Ямало</w:t>
            </w:r>
            <w:proofErr w:type="spellEnd"/>
            <w:r w:rsidR="00C830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Ненецкий автономный округ</w:t>
            </w:r>
          </w:p>
        </w:tc>
      </w:tr>
      <w:tr w:rsidR="00A655FA" w:rsidRPr="00273B5A" w14:paraId="2139582E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9B04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B973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Республика Крым</w:t>
            </w:r>
          </w:p>
        </w:tc>
      </w:tr>
      <w:tr w:rsidR="00A655FA" w:rsidRPr="00273B5A" w14:paraId="7BC5D562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A9AA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A723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г. Севастополь</w:t>
            </w:r>
          </w:p>
        </w:tc>
      </w:tr>
      <w:tr w:rsidR="00A655FA" w:rsidRPr="00273B5A" w14:paraId="1716D779" w14:textId="77777777" w:rsidTr="00126F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118D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3F4A" w14:textId="77777777" w:rsidR="00A655FA" w:rsidRPr="00273B5A" w:rsidRDefault="00A655FA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Иные территории, включая город и космодром Байконур</w:t>
            </w:r>
          </w:p>
        </w:tc>
      </w:tr>
    </w:tbl>
    <w:p w14:paraId="6254EB69" w14:textId="77777777" w:rsidR="00A655FA" w:rsidRPr="00273B5A" w:rsidRDefault="00A655FA" w:rsidP="00A65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3A646E" w14:textId="77777777" w:rsidR="00760236" w:rsidRDefault="00760236" w:rsidP="00B04A2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572B93FF" w14:textId="77777777" w:rsidR="00760236" w:rsidRDefault="00760236" w:rsidP="00B04A2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3DD974C7" w14:textId="77777777" w:rsidR="00760236" w:rsidRDefault="00760236" w:rsidP="00B04A2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5A61D9A6" w14:textId="77777777" w:rsidR="00760236" w:rsidRDefault="00760236" w:rsidP="00B04A2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76E78999" w14:textId="77777777" w:rsidR="00760236" w:rsidRDefault="00760236" w:rsidP="00B04A2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2B9699AF" w14:textId="77777777" w:rsidR="00760236" w:rsidRDefault="00760236" w:rsidP="00B04A2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4B92A604" w14:textId="77777777" w:rsidR="00760236" w:rsidRDefault="00760236" w:rsidP="00B04A2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53F7C051" w14:textId="77777777" w:rsidR="00760236" w:rsidRDefault="00760236" w:rsidP="00B04A2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6299CD99" w14:textId="77777777" w:rsidR="00760236" w:rsidRDefault="00760236" w:rsidP="00B04A2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41714F2F" w14:textId="77777777" w:rsidR="00760236" w:rsidRDefault="00760236" w:rsidP="00B04A2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32F7876E" w14:textId="77777777" w:rsidR="00760236" w:rsidRDefault="00760236" w:rsidP="00B04A2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5D135A21" w14:textId="77777777" w:rsidR="00760236" w:rsidRDefault="00760236" w:rsidP="00B04A2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4A7595A7" w14:textId="77777777" w:rsidR="00760236" w:rsidRDefault="00760236" w:rsidP="00B04A2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1BFB1690" w14:textId="77777777" w:rsidR="00760236" w:rsidRDefault="00760236" w:rsidP="00B04A2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0A9D6590" w14:textId="77777777" w:rsidR="00760236" w:rsidRDefault="00760236" w:rsidP="00B04A2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534DF138" w14:textId="77777777" w:rsidR="00760236" w:rsidRDefault="00760236" w:rsidP="00B04A2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702BDC1D" w14:textId="77777777" w:rsidR="00760236" w:rsidRDefault="00760236" w:rsidP="00B04A2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5DA83E84" w14:textId="77777777" w:rsidR="00760236" w:rsidRDefault="00760236" w:rsidP="00B04A2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1A734312" w14:textId="77777777" w:rsidR="00760236" w:rsidRDefault="00760236" w:rsidP="00B04A2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52E0B958" w14:textId="77777777" w:rsidR="00760236" w:rsidRDefault="00760236" w:rsidP="00B04A2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12333A77" w14:textId="77777777" w:rsidR="00760236" w:rsidRDefault="00760236" w:rsidP="00B04A2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5256A45F" w14:textId="77777777" w:rsidR="00760236" w:rsidRDefault="00760236" w:rsidP="00B04A2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60ECB2BE" w14:textId="77777777" w:rsidR="00760236" w:rsidRDefault="00760236" w:rsidP="00B04A2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739201E1" w14:textId="77777777" w:rsidR="00760236" w:rsidRDefault="00760236" w:rsidP="00B04A2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435F134B" w14:textId="77777777" w:rsidR="00760236" w:rsidRDefault="00760236" w:rsidP="00B04A2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3173F625" w14:textId="77777777" w:rsidR="00760236" w:rsidRDefault="00760236" w:rsidP="00B04A2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48B6B15F" w14:textId="77777777" w:rsidR="00760236" w:rsidRDefault="00760236" w:rsidP="00B04A2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23BF71BD" w14:textId="77777777" w:rsidR="00760236" w:rsidRDefault="00760236" w:rsidP="00D7615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ED80CA9" w14:textId="36BDB320" w:rsidR="00D7615D" w:rsidRPr="00B04A21" w:rsidRDefault="00D7615D" w:rsidP="00B04A21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4A2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03E31" w:rsidRPr="00B04A21">
        <w:rPr>
          <w:rFonts w:ascii="Times New Roman" w:hAnsi="Times New Roman" w:cs="Times New Roman"/>
          <w:sz w:val="24"/>
          <w:szCs w:val="24"/>
        </w:rPr>
        <w:t>№</w:t>
      </w:r>
      <w:r w:rsidRPr="00B04A21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2030A856" w14:textId="48422EEF" w:rsidR="00D7615D" w:rsidRPr="00B04A21" w:rsidRDefault="00D7615D" w:rsidP="00B04A21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04A21">
        <w:rPr>
          <w:rFonts w:ascii="Times New Roman" w:hAnsi="Times New Roman" w:cs="Times New Roman"/>
          <w:sz w:val="24"/>
          <w:szCs w:val="24"/>
        </w:rPr>
        <w:t>к Порядку заполнен</w:t>
      </w:r>
      <w:r w:rsidR="00760236" w:rsidRPr="00B04A21">
        <w:rPr>
          <w:rFonts w:ascii="Times New Roman" w:hAnsi="Times New Roman" w:cs="Times New Roman"/>
          <w:sz w:val="24"/>
          <w:szCs w:val="24"/>
        </w:rPr>
        <w:t xml:space="preserve">ия отчета об операциях </w:t>
      </w:r>
      <w:r w:rsidR="00B04A21">
        <w:rPr>
          <w:rFonts w:ascii="Times New Roman" w:hAnsi="Times New Roman" w:cs="Times New Roman"/>
          <w:sz w:val="24"/>
          <w:szCs w:val="24"/>
        </w:rPr>
        <w:t>с </w:t>
      </w:r>
      <w:r w:rsidRPr="00B04A21">
        <w:rPr>
          <w:rFonts w:ascii="Times New Roman" w:hAnsi="Times New Roman" w:cs="Times New Roman"/>
          <w:sz w:val="24"/>
          <w:szCs w:val="24"/>
        </w:rPr>
        <w:t>товарами, подлежащими прослеживаемости</w:t>
      </w:r>
    </w:p>
    <w:p w14:paraId="05B6A46B" w14:textId="77777777" w:rsidR="00A655FA" w:rsidRPr="00273B5A" w:rsidRDefault="00A655FA" w:rsidP="00B04A21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4ACE40B0" w14:textId="1C0C3D53" w:rsidR="00C51D07" w:rsidRPr="00273B5A" w:rsidRDefault="00760236" w:rsidP="00C51D0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4107"/>
      <w:bookmarkStart w:id="4" w:name="Par4109"/>
      <w:bookmarkEnd w:id="3"/>
      <w:bookmarkEnd w:id="4"/>
      <w:r w:rsidRPr="00273B5A">
        <w:rPr>
          <w:rFonts w:ascii="Times New Roman" w:hAnsi="Times New Roman" w:cs="Times New Roman"/>
          <w:sz w:val="28"/>
          <w:szCs w:val="28"/>
        </w:rPr>
        <w:t>КОДЫ ФОРМ РЕОРГАНИЗАЦИИ И КОД ЛИКВИДАЦИИ ОРГАНИЗАЦИИ</w:t>
      </w: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9000"/>
      </w:tblGrid>
      <w:tr w:rsidR="00A655FA" w:rsidRPr="00273B5A" w14:paraId="5B67E23D" w14:textId="77777777" w:rsidTr="0076023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E49C" w14:textId="77777777" w:rsidR="00C51D07" w:rsidRPr="00273B5A" w:rsidRDefault="00C51D07" w:rsidP="00126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DAF6" w14:textId="77777777" w:rsidR="00C51D07" w:rsidRPr="00273B5A" w:rsidRDefault="00C51D07" w:rsidP="00126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A655FA" w:rsidRPr="00273B5A" w14:paraId="4D5C0EC7" w14:textId="77777777" w:rsidTr="0076023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13F4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50A8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Преобразование</w:t>
            </w:r>
          </w:p>
        </w:tc>
      </w:tr>
      <w:tr w:rsidR="00A655FA" w:rsidRPr="00273B5A" w14:paraId="3473100F" w14:textId="77777777" w:rsidTr="0076023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C8A6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78C5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Слияние</w:t>
            </w:r>
          </w:p>
        </w:tc>
      </w:tr>
      <w:tr w:rsidR="00A655FA" w:rsidRPr="00273B5A" w14:paraId="35806358" w14:textId="77777777" w:rsidTr="0076023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D7E8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AB8F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Разделение</w:t>
            </w:r>
          </w:p>
        </w:tc>
      </w:tr>
      <w:tr w:rsidR="00A655FA" w:rsidRPr="00273B5A" w14:paraId="4AC4A438" w14:textId="77777777" w:rsidTr="0076023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EB02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5C80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Присоединение</w:t>
            </w:r>
          </w:p>
        </w:tc>
      </w:tr>
      <w:tr w:rsidR="00A655FA" w:rsidRPr="00273B5A" w14:paraId="56A57ECC" w14:textId="77777777" w:rsidTr="0076023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CCC9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300E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Разделение с одновременным присоединением</w:t>
            </w:r>
          </w:p>
        </w:tc>
      </w:tr>
      <w:tr w:rsidR="00A655FA" w:rsidRPr="00273B5A" w14:paraId="2CECDDA9" w14:textId="77777777" w:rsidTr="0076023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3FAA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1149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Ликвидация</w:t>
            </w:r>
          </w:p>
        </w:tc>
      </w:tr>
    </w:tbl>
    <w:p w14:paraId="16006275" w14:textId="77777777" w:rsidR="00C51D07" w:rsidRPr="00273B5A" w:rsidRDefault="00C51D07" w:rsidP="00C51D07">
      <w:pPr>
        <w:pStyle w:val="ConsPlusNormal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14:paraId="27CDCF9D" w14:textId="07474A63" w:rsidR="00C51D07" w:rsidRPr="00760236" w:rsidRDefault="00760236" w:rsidP="00760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5" w:name="Par4126"/>
      <w:bookmarkEnd w:id="5"/>
      <w:r w:rsidRPr="00760236">
        <w:rPr>
          <w:rFonts w:ascii="Times New Roman" w:eastAsia="Calibri" w:hAnsi="Times New Roman" w:cs="Times New Roman"/>
          <w:sz w:val="28"/>
          <w:szCs w:val="28"/>
        </w:rPr>
        <w:t>КОДЫ МЕСТА ПРЕДСТАВЛЕНИЯ ОТЧЕТА В НАЛОГОВЫЙ ОРГАН</w:t>
      </w: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9000"/>
      </w:tblGrid>
      <w:tr w:rsidR="00A655FA" w:rsidRPr="00273B5A" w14:paraId="01F07B55" w14:textId="77777777" w:rsidTr="0076023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B53D" w14:textId="77777777" w:rsidR="00C51D07" w:rsidRPr="00273B5A" w:rsidRDefault="00C51D07" w:rsidP="00126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E044" w14:textId="77777777" w:rsidR="00C51D07" w:rsidRPr="00273B5A" w:rsidRDefault="00C51D07" w:rsidP="00126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A655FA" w:rsidRPr="00273B5A" w14:paraId="58B9969F" w14:textId="77777777" w:rsidTr="0076023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0B47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5A65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По месту постановки индивидуального предпринимателя на учет в качестве налогоплательщика</w:t>
            </w:r>
          </w:p>
        </w:tc>
      </w:tr>
      <w:tr w:rsidR="00A655FA" w:rsidRPr="00273B5A" w14:paraId="5ED6DD36" w14:textId="77777777" w:rsidTr="0076023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4458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D1E4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По месту постановки на учет организации в качестве крупнейшего налогоплательщика</w:t>
            </w:r>
          </w:p>
        </w:tc>
      </w:tr>
      <w:tr w:rsidR="00A655FA" w:rsidRPr="00273B5A" w14:paraId="4CBD0496" w14:textId="77777777" w:rsidTr="0076023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4219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9EFD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По месту постановки на учет организации, не являющейся крупнейшим налогоплательщиком</w:t>
            </w:r>
          </w:p>
        </w:tc>
      </w:tr>
      <w:tr w:rsidR="00A655FA" w:rsidRPr="00273B5A" w14:paraId="23E1A7C8" w14:textId="77777777" w:rsidTr="0076023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BC92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EADA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По месту постановки на учет правопреемника, не являющегося крупнейшим налогоплательщиком</w:t>
            </w:r>
          </w:p>
        </w:tc>
      </w:tr>
      <w:tr w:rsidR="00A655FA" w:rsidRPr="00273B5A" w14:paraId="14C3CF63" w14:textId="77777777" w:rsidTr="0076023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5D6E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FA29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По месту постановки на учет правопреемника, являющегося крупнейшим налогоплательщиком</w:t>
            </w:r>
          </w:p>
        </w:tc>
      </w:tr>
      <w:tr w:rsidR="00A655FA" w:rsidRPr="00273B5A" w14:paraId="58A98B9F" w14:textId="77777777" w:rsidTr="0076023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D04C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CA73" w14:textId="69EC7636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 xml:space="preserve">По месту постановки на учет участника договора инвестиционного товарищества </w:t>
            </w:r>
            <w:r w:rsidR="00C830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управляющего товарища, ответственного за ведение налогового учета</w:t>
            </w:r>
          </w:p>
        </w:tc>
      </w:tr>
      <w:tr w:rsidR="00A655FA" w:rsidRPr="00273B5A" w14:paraId="66C1A7D3" w14:textId="77777777" w:rsidTr="0076023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3789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8EBC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По месту нахождения налогового агента</w:t>
            </w:r>
          </w:p>
        </w:tc>
      </w:tr>
      <w:tr w:rsidR="00A655FA" w:rsidRPr="00273B5A" w14:paraId="714A7FEA" w14:textId="77777777" w:rsidTr="0076023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2837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824C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По месту постановки на учет налогоплательщика при выполнении соглашения о разделе продукции</w:t>
            </w:r>
          </w:p>
        </w:tc>
      </w:tr>
      <w:tr w:rsidR="00C51D07" w:rsidRPr="00273B5A" w14:paraId="066EAFA2" w14:textId="77777777" w:rsidTr="0076023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19D6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FAE3" w14:textId="77777777" w:rsidR="00C51D07" w:rsidRPr="00273B5A" w:rsidRDefault="00C51D07" w:rsidP="00126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По месту осуществления деятельности иностранной организации через отделение иностранной организации</w:t>
            </w:r>
          </w:p>
        </w:tc>
      </w:tr>
    </w:tbl>
    <w:p w14:paraId="5F54932C" w14:textId="77777777" w:rsidR="00C51D07" w:rsidRPr="00B04A21" w:rsidRDefault="00C51D07" w:rsidP="00C51D07">
      <w:pPr>
        <w:pStyle w:val="ConsPlusNormal"/>
        <w:jc w:val="both"/>
        <w:rPr>
          <w:rFonts w:ascii="Times New Roman" w:hAnsi="Times New Roman" w:cs="Times New Roman"/>
          <w:sz w:val="6"/>
          <w:szCs w:val="6"/>
        </w:rPr>
      </w:pPr>
    </w:p>
    <w:sectPr w:rsidR="00C51D07" w:rsidRPr="00B04A21" w:rsidSect="004E251C">
      <w:footnotePr>
        <w:numRestart w:val="eachPage"/>
      </w:footnotePr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D8C8A1" w16cid:durableId="1FB4F4A9"/>
  <w16cid:commentId w16cid:paraId="12B4461F" w16cid:durableId="1FB4F51F"/>
  <w16cid:commentId w16cid:paraId="5DF53752" w16cid:durableId="1FB4F790"/>
  <w16cid:commentId w16cid:paraId="44730525" w16cid:durableId="1FB4F96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C2330" w14:textId="77777777" w:rsidR="009F7F30" w:rsidRDefault="009F7F30" w:rsidP="009122F9">
      <w:pPr>
        <w:spacing w:after="0" w:line="240" w:lineRule="auto"/>
      </w:pPr>
      <w:r>
        <w:separator/>
      </w:r>
    </w:p>
  </w:endnote>
  <w:endnote w:type="continuationSeparator" w:id="0">
    <w:p w14:paraId="49214565" w14:textId="77777777" w:rsidR="009F7F30" w:rsidRDefault="009F7F30" w:rsidP="0091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A085D" w14:textId="4B34766F" w:rsidR="009F7F30" w:rsidRPr="007657BD" w:rsidRDefault="009F7F30" w:rsidP="007657BD">
    <w:pPr>
      <w:pStyle w:val="a7"/>
      <w:rPr>
        <w:rFonts w:ascii="Times New Roman" w:hAnsi="Times New Roman" w:cs="Times New Roman"/>
        <w:i/>
        <w:color w:val="999999"/>
        <w:sz w:val="16"/>
      </w:rPr>
    </w:pPr>
    <w:r w:rsidRPr="007657BD">
      <w:rPr>
        <w:rFonts w:ascii="Times New Roman" w:hAnsi="Times New Roman" w:cs="Times New Roman"/>
        <w:i/>
        <w:color w:val="999999"/>
        <w:sz w:val="16"/>
      </w:rPr>
      <w:fldChar w:fldCharType="begin"/>
    </w:r>
    <w:r w:rsidRPr="007657BD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7657BD">
      <w:rPr>
        <w:rFonts w:ascii="Times New Roman" w:hAnsi="Times New Roman" w:cs="Times New Roman"/>
        <w:i/>
        <w:color w:val="999999"/>
        <w:sz w:val="16"/>
      </w:rPr>
      <w:fldChar w:fldCharType="separate"/>
    </w:r>
    <w:r w:rsidR="00134AE4">
      <w:rPr>
        <w:rFonts w:ascii="Times New Roman" w:hAnsi="Times New Roman" w:cs="Times New Roman"/>
        <w:i/>
        <w:noProof/>
        <w:color w:val="999999"/>
        <w:sz w:val="16"/>
      </w:rPr>
      <w:t>12.04.2021 12:54</w:t>
    </w:r>
    <w:r w:rsidRPr="007657BD">
      <w:rPr>
        <w:rFonts w:ascii="Times New Roman" w:hAnsi="Times New Roman" w:cs="Times New Roman"/>
        <w:i/>
        <w:color w:val="999999"/>
        <w:sz w:val="16"/>
      </w:rPr>
      <w:fldChar w:fldCharType="end"/>
    </w:r>
  </w:p>
  <w:p w14:paraId="5750109E" w14:textId="052885D1" w:rsidR="009F7F30" w:rsidRPr="007657BD" w:rsidRDefault="009F7F30" w:rsidP="007657BD">
    <w:pPr>
      <w:pStyle w:val="a7"/>
      <w:rPr>
        <w:rFonts w:ascii="Times New Roman" w:hAnsi="Times New Roman" w:cs="Times New Roman"/>
        <w:color w:val="999999"/>
        <w:sz w:val="16"/>
      </w:rPr>
    </w:pPr>
    <w:r w:rsidRPr="007657BD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7657BD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7657BD">
      <w:rPr>
        <w:rFonts w:ascii="Times New Roman" w:hAnsi="Times New Roman" w:cs="Times New Roman"/>
        <w:i/>
        <w:color w:val="999999"/>
        <w:sz w:val="16"/>
        <w:lang w:val="en-US"/>
      </w:rPr>
      <w:t>kompburo</w:t>
    </w:r>
    <w:proofErr w:type="spellEnd"/>
    <w:proofErr w:type="gramEnd"/>
    <w:r w:rsidRPr="007657BD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r w:rsidRPr="007657BD">
      <w:rPr>
        <w:rFonts w:ascii="Times New Roman" w:hAnsi="Times New Roman" w:cs="Times New Roman"/>
        <w:i/>
        <w:color w:val="999999"/>
        <w:sz w:val="16"/>
      </w:rPr>
      <w:t>/Н.И./</w:t>
    </w:r>
    <w:r w:rsidRPr="007657BD">
      <w:rPr>
        <w:rFonts w:ascii="Times New Roman" w:hAnsi="Times New Roman" w:cs="Times New Roman"/>
        <w:i/>
        <w:color w:val="999999"/>
        <w:sz w:val="16"/>
      </w:rPr>
      <w:fldChar w:fldCharType="begin"/>
    </w:r>
    <w:r w:rsidRPr="007657BD">
      <w:rPr>
        <w:rFonts w:ascii="Times New Roman" w:hAnsi="Times New Roman" w:cs="Times New Roman"/>
        <w:i/>
        <w:color w:val="999999"/>
        <w:sz w:val="16"/>
      </w:rPr>
      <w:instrText xml:space="preserve"> FILENAME   \* MERGEFORMAT </w:instrText>
    </w:r>
    <w:r w:rsidRPr="007657BD">
      <w:rPr>
        <w:rFonts w:ascii="Times New Roman" w:hAnsi="Times New Roman" w:cs="Times New Roman"/>
        <w:i/>
        <w:color w:val="999999"/>
        <w:sz w:val="16"/>
      </w:rPr>
      <w:fldChar w:fldCharType="separate"/>
    </w:r>
    <w:r w:rsidRPr="007657BD">
      <w:rPr>
        <w:rFonts w:ascii="Times New Roman" w:hAnsi="Times New Roman" w:cs="Times New Roman"/>
        <w:i/>
        <w:noProof/>
        <w:color w:val="999999"/>
        <w:sz w:val="16"/>
      </w:rPr>
      <w:t>Прил-И5802-8</w:t>
    </w:r>
    <w:r w:rsidRPr="007657BD">
      <w:rPr>
        <w:rFonts w:ascii="Times New Roman" w:hAnsi="Times New Roman" w:cs="Times New Roman"/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BD634" w14:textId="36B05811" w:rsidR="009F7F30" w:rsidRPr="007657BD" w:rsidRDefault="009F7F30" w:rsidP="007657BD">
    <w:pPr>
      <w:pStyle w:val="a7"/>
      <w:rPr>
        <w:i/>
        <w:color w:val="767171" w:themeColor="background2" w:themeShade="80"/>
        <w:sz w:val="16"/>
      </w:rPr>
    </w:pPr>
    <w:r w:rsidRPr="007657BD">
      <w:rPr>
        <w:i/>
        <w:color w:val="767171" w:themeColor="background2" w:themeShade="80"/>
        <w:sz w:val="16"/>
      </w:rPr>
      <w:fldChar w:fldCharType="begin"/>
    </w:r>
    <w:r w:rsidRPr="007657BD">
      <w:rPr>
        <w:i/>
        <w:color w:val="767171" w:themeColor="background2" w:themeShade="80"/>
        <w:sz w:val="16"/>
      </w:rPr>
      <w:instrText xml:space="preserve"> DATE  \@ "dd.MM.yyyy H:mm"  \* MERGEFORMAT </w:instrText>
    </w:r>
    <w:r w:rsidRPr="007657BD">
      <w:rPr>
        <w:i/>
        <w:color w:val="767171" w:themeColor="background2" w:themeShade="80"/>
        <w:sz w:val="16"/>
      </w:rPr>
      <w:fldChar w:fldCharType="separate"/>
    </w:r>
    <w:r w:rsidR="00134AE4">
      <w:rPr>
        <w:i/>
        <w:noProof/>
        <w:color w:val="767171" w:themeColor="background2" w:themeShade="80"/>
        <w:sz w:val="16"/>
      </w:rPr>
      <w:t>12.04.2021 12:54</w:t>
    </w:r>
    <w:r w:rsidRPr="007657BD">
      <w:rPr>
        <w:i/>
        <w:color w:val="767171" w:themeColor="background2" w:themeShade="80"/>
        <w:sz w:val="16"/>
      </w:rPr>
      <w:fldChar w:fldCharType="end"/>
    </w:r>
  </w:p>
  <w:p w14:paraId="2760B6FD" w14:textId="38DDCA9E" w:rsidR="009F7F30" w:rsidRPr="007657BD" w:rsidRDefault="009F7F30" w:rsidP="007657BD">
    <w:pPr>
      <w:pStyle w:val="a7"/>
      <w:rPr>
        <w:rFonts w:ascii="Times New Roman" w:hAnsi="Times New Roman" w:cs="Times New Roman"/>
        <w:color w:val="767171" w:themeColor="background2" w:themeShade="80"/>
        <w:sz w:val="16"/>
      </w:rPr>
    </w:pPr>
    <w:r w:rsidRPr="007657BD">
      <w:rPr>
        <w:i/>
        <w:color w:val="767171" w:themeColor="background2" w:themeShade="80"/>
        <w:sz w:val="16"/>
        <w:lang w:val="en-US"/>
      </w:rPr>
      <w:sym w:font="Wingdings" w:char="F03C"/>
    </w:r>
    <w:r w:rsidRPr="007657BD">
      <w:rPr>
        <w:i/>
        <w:color w:val="767171" w:themeColor="background2" w:themeShade="80"/>
        <w:sz w:val="16"/>
        <w:lang w:val="en-US"/>
      </w:rPr>
      <w:t xml:space="preserve"> </w:t>
    </w:r>
    <w:proofErr w:type="spellStart"/>
    <w:proofErr w:type="gramStart"/>
    <w:r w:rsidRPr="007657BD">
      <w:rPr>
        <w:i/>
        <w:color w:val="767171" w:themeColor="background2" w:themeShade="80"/>
        <w:sz w:val="16"/>
        <w:lang w:val="en-US"/>
      </w:rPr>
      <w:t>kompburo</w:t>
    </w:r>
    <w:proofErr w:type="spellEnd"/>
    <w:proofErr w:type="gramEnd"/>
    <w:r w:rsidRPr="007657BD">
      <w:rPr>
        <w:i/>
        <w:color w:val="767171" w:themeColor="background2" w:themeShade="80"/>
        <w:sz w:val="16"/>
        <w:lang w:val="en-US"/>
      </w:rPr>
      <w:t xml:space="preserve"> </w:t>
    </w:r>
    <w:r w:rsidRPr="007657BD">
      <w:rPr>
        <w:i/>
        <w:color w:val="767171" w:themeColor="background2" w:themeShade="80"/>
        <w:sz w:val="16"/>
      </w:rPr>
      <w:t>/Н</w:t>
    </w:r>
    <w:r w:rsidRPr="007657BD">
      <w:rPr>
        <w:rFonts w:ascii="Times New Roman" w:hAnsi="Times New Roman" w:cs="Times New Roman"/>
        <w:i/>
        <w:color w:val="767171" w:themeColor="background2" w:themeShade="80"/>
        <w:sz w:val="16"/>
      </w:rPr>
      <w:t>.И./</w:t>
    </w:r>
    <w:r w:rsidRPr="007657BD">
      <w:rPr>
        <w:rFonts w:ascii="Times New Roman" w:hAnsi="Times New Roman" w:cs="Times New Roman"/>
        <w:i/>
        <w:color w:val="767171" w:themeColor="background2" w:themeShade="80"/>
        <w:sz w:val="16"/>
      </w:rPr>
      <w:fldChar w:fldCharType="begin"/>
    </w:r>
    <w:r w:rsidRPr="007657BD">
      <w:rPr>
        <w:rFonts w:ascii="Times New Roman" w:hAnsi="Times New Roman" w:cs="Times New Roman"/>
        <w:i/>
        <w:color w:val="767171" w:themeColor="background2" w:themeShade="80"/>
        <w:sz w:val="16"/>
      </w:rPr>
      <w:instrText xml:space="preserve"> FILENAME   \* MERGEFORMAT </w:instrText>
    </w:r>
    <w:r w:rsidRPr="007657BD">
      <w:rPr>
        <w:rFonts w:ascii="Times New Roman" w:hAnsi="Times New Roman" w:cs="Times New Roman"/>
        <w:i/>
        <w:color w:val="767171" w:themeColor="background2" w:themeShade="80"/>
        <w:sz w:val="16"/>
      </w:rPr>
      <w:fldChar w:fldCharType="separate"/>
    </w:r>
    <w:r w:rsidRPr="007657BD">
      <w:rPr>
        <w:rFonts w:ascii="Times New Roman" w:hAnsi="Times New Roman" w:cs="Times New Roman"/>
        <w:i/>
        <w:noProof/>
        <w:color w:val="767171" w:themeColor="background2" w:themeShade="80"/>
        <w:sz w:val="16"/>
      </w:rPr>
      <w:t>Прил-И5802-8</w:t>
    </w:r>
    <w:r w:rsidRPr="007657BD">
      <w:rPr>
        <w:rFonts w:ascii="Times New Roman" w:hAnsi="Times New Roman" w:cs="Times New Roman"/>
        <w:i/>
        <w:color w:val="767171" w:themeColor="background2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E9741" w14:textId="77777777" w:rsidR="009F7F30" w:rsidRDefault="009F7F30" w:rsidP="009122F9">
      <w:pPr>
        <w:spacing w:after="0" w:line="240" w:lineRule="auto"/>
      </w:pPr>
      <w:r>
        <w:separator/>
      </w:r>
    </w:p>
  </w:footnote>
  <w:footnote w:type="continuationSeparator" w:id="0">
    <w:p w14:paraId="795B13DE" w14:textId="77777777" w:rsidR="009F7F30" w:rsidRDefault="009F7F30" w:rsidP="0091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9615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273BBF3" w14:textId="2E50CB70" w:rsidR="009F7F30" w:rsidRPr="007657BD" w:rsidRDefault="009F7F30" w:rsidP="007657B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657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657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657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4AE4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7657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D5F"/>
    <w:multiLevelType w:val="hybridMultilevel"/>
    <w:tmpl w:val="8620E812"/>
    <w:lvl w:ilvl="0" w:tplc="8D2899C0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846ED"/>
    <w:multiLevelType w:val="hybridMultilevel"/>
    <w:tmpl w:val="8620E812"/>
    <w:lvl w:ilvl="0" w:tplc="8D2899C0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06D0B"/>
    <w:multiLevelType w:val="hybridMultilevel"/>
    <w:tmpl w:val="179ACE18"/>
    <w:lvl w:ilvl="0" w:tplc="461AD56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921D34"/>
    <w:multiLevelType w:val="hybridMultilevel"/>
    <w:tmpl w:val="071C3D30"/>
    <w:lvl w:ilvl="0" w:tplc="461AD5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375BA"/>
    <w:multiLevelType w:val="hybridMultilevel"/>
    <w:tmpl w:val="4066092C"/>
    <w:lvl w:ilvl="0" w:tplc="461AD56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A9F755B"/>
    <w:multiLevelType w:val="hybridMultilevel"/>
    <w:tmpl w:val="6878356E"/>
    <w:lvl w:ilvl="0" w:tplc="5852B640">
      <w:start w:val="5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6FA7B39"/>
    <w:multiLevelType w:val="hybridMultilevel"/>
    <w:tmpl w:val="6C3CB3FE"/>
    <w:lvl w:ilvl="0" w:tplc="14846CB2">
      <w:start w:val="1"/>
      <w:numFmt w:val="russianLower"/>
      <w:lvlText w:val="%1)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46F72"/>
    <w:multiLevelType w:val="hybridMultilevel"/>
    <w:tmpl w:val="094A96F4"/>
    <w:lvl w:ilvl="0" w:tplc="22521D3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5C3D6B56"/>
    <w:multiLevelType w:val="hybridMultilevel"/>
    <w:tmpl w:val="7574724A"/>
    <w:lvl w:ilvl="0" w:tplc="7A720E6A">
      <w:start w:val="5"/>
      <w:numFmt w:val="upperRoman"/>
      <w:lvlText w:val="%1."/>
      <w:lvlJc w:val="left"/>
      <w:pPr>
        <w:ind w:left="20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62CC7417"/>
    <w:multiLevelType w:val="hybridMultilevel"/>
    <w:tmpl w:val="5DDE76A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6B921B43"/>
    <w:multiLevelType w:val="hybridMultilevel"/>
    <w:tmpl w:val="179ACE18"/>
    <w:lvl w:ilvl="0" w:tplc="461AD56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64"/>
    <w:rsid w:val="00000D9F"/>
    <w:rsid w:val="000159F0"/>
    <w:rsid w:val="00017746"/>
    <w:rsid w:val="000214B6"/>
    <w:rsid w:val="00024CE1"/>
    <w:rsid w:val="00027C6E"/>
    <w:rsid w:val="000339F3"/>
    <w:rsid w:val="00036D0A"/>
    <w:rsid w:val="000464F8"/>
    <w:rsid w:val="00051897"/>
    <w:rsid w:val="00061DD0"/>
    <w:rsid w:val="000768F8"/>
    <w:rsid w:val="00080016"/>
    <w:rsid w:val="00086538"/>
    <w:rsid w:val="00087A8B"/>
    <w:rsid w:val="00087D03"/>
    <w:rsid w:val="000944CE"/>
    <w:rsid w:val="000958F2"/>
    <w:rsid w:val="00097D54"/>
    <w:rsid w:val="000B1704"/>
    <w:rsid w:val="000B352C"/>
    <w:rsid w:val="000B35EE"/>
    <w:rsid w:val="000B4B07"/>
    <w:rsid w:val="000B6BC8"/>
    <w:rsid w:val="000B712A"/>
    <w:rsid w:val="000C3C52"/>
    <w:rsid w:val="000C6664"/>
    <w:rsid w:val="000E082B"/>
    <w:rsid w:val="000E0900"/>
    <w:rsid w:val="000E0E9C"/>
    <w:rsid w:val="000E1595"/>
    <w:rsid w:val="000E5D47"/>
    <w:rsid w:val="000F1981"/>
    <w:rsid w:val="000F2C68"/>
    <w:rsid w:val="000F2DC8"/>
    <w:rsid w:val="001005FB"/>
    <w:rsid w:val="0010145E"/>
    <w:rsid w:val="001030D7"/>
    <w:rsid w:val="001037C7"/>
    <w:rsid w:val="00113D1B"/>
    <w:rsid w:val="001151DD"/>
    <w:rsid w:val="001207CD"/>
    <w:rsid w:val="00124CB6"/>
    <w:rsid w:val="00124E8E"/>
    <w:rsid w:val="00126FAD"/>
    <w:rsid w:val="001301E8"/>
    <w:rsid w:val="00134AE4"/>
    <w:rsid w:val="001370B6"/>
    <w:rsid w:val="00141574"/>
    <w:rsid w:val="001436AE"/>
    <w:rsid w:val="001445E0"/>
    <w:rsid w:val="001517D6"/>
    <w:rsid w:val="00152713"/>
    <w:rsid w:val="00161D1A"/>
    <w:rsid w:val="0017095B"/>
    <w:rsid w:val="00171EE4"/>
    <w:rsid w:val="00173B58"/>
    <w:rsid w:val="001753AC"/>
    <w:rsid w:val="00185E33"/>
    <w:rsid w:val="001934A9"/>
    <w:rsid w:val="00193817"/>
    <w:rsid w:val="00195C78"/>
    <w:rsid w:val="001A1932"/>
    <w:rsid w:val="001C66A9"/>
    <w:rsid w:val="001D55CE"/>
    <w:rsid w:val="001E34E0"/>
    <w:rsid w:val="001E7E26"/>
    <w:rsid w:val="001F3FA5"/>
    <w:rsid w:val="00202103"/>
    <w:rsid w:val="00205B09"/>
    <w:rsid w:val="00212A1F"/>
    <w:rsid w:val="00223F1A"/>
    <w:rsid w:val="00246345"/>
    <w:rsid w:val="00262CD8"/>
    <w:rsid w:val="00264980"/>
    <w:rsid w:val="00266802"/>
    <w:rsid w:val="00267AD4"/>
    <w:rsid w:val="00272DD2"/>
    <w:rsid w:val="00273B5A"/>
    <w:rsid w:val="00291E5A"/>
    <w:rsid w:val="0029358F"/>
    <w:rsid w:val="00294104"/>
    <w:rsid w:val="00297D98"/>
    <w:rsid w:val="002A5C2D"/>
    <w:rsid w:val="002B17E7"/>
    <w:rsid w:val="002C4CA9"/>
    <w:rsid w:val="002C7D02"/>
    <w:rsid w:val="002D3244"/>
    <w:rsid w:val="002D496F"/>
    <w:rsid w:val="002E1782"/>
    <w:rsid w:val="002E5F4B"/>
    <w:rsid w:val="002F2464"/>
    <w:rsid w:val="002F546D"/>
    <w:rsid w:val="0030106D"/>
    <w:rsid w:val="00304422"/>
    <w:rsid w:val="00304766"/>
    <w:rsid w:val="00306FA9"/>
    <w:rsid w:val="00340EF6"/>
    <w:rsid w:val="00346ECB"/>
    <w:rsid w:val="00351F7C"/>
    <w:rsid w:val="00353AB3"/>
    <w:rsid w:val="003542F8"/>
    <w:rsid w:val="003655D6"/>
    <w:rsid w:val="00370578"/>
    <w:rsid w:val="00370B87"/>
    <w:rsid w:val="00370BBF"/>
    <w:rsid w:val="003769F0"/>
    <w:rsid w:val="00383573"/>
    <w:rsid w:val="00395434"/>
    <w:rsid w:val="003A02D7"/>
    <w:rsid w:val="003B0466"/>
    <w:rsid w:val="003B060A"/>
    <w:rsid w:val="003B4462"/>
    <w:rsid w:val="003C24CC"/>
    <w:rsid w:val="003C2FD3"/>
    <w:rsid w:val="003C6182"/>
    <w:rsid w:val="003C756D"/>
    <w:rsid w:val="003E0071"/>
    <w:rsid w:val="003F111E"/>
    <w:rsid w:val="003F40FF"/>
    <w:rsid w:val="00407FFA"/>
    <w:rsid w:val="004119B3"/>
    <w:rsid w:val="004155F9"/>
    <w:rsid w:val="00417070"/>
    <w:rsid w:val="00417A81"/>
    <w:rsid w:val="00425096"/>
    <w:rsid w:val="004319E3"/>
    <w:rsid w:val="00432EDA"/>
    <w:rsid w:val="00436A71"/>
    <w:rsid w:val="004429E4"/>
    <w:rsid w:val="00443159"/>
    <w:rsid w:val="00443E79"/>
    <w:rsid w:val="00447385"/>
    <w:rsid w:val="00463AA0"/>
    <w:rsid w:val="00466FAB"/>
    <w:rsid w:val="00472C4B"/>
    <w:rsid w:val="004812B3"/>
    <w:rsid w:val="004815F1"/>
    <w:rsid w:val="004831BE"/>
    <w:rsid w:val="004A0E32"/>
    <w:rsid w:val="004A2A2E"/>
    <w:rsid w:val="004A588C"/>
    <w:rsid w:val="004B5533"/>
    <w:rsid w:val="004C1345"/>
    <w:rsid w:val="004C1D6F"/>
    <w:rsid w:val="004C4506"/>
    <w:rsid w:val="004C49AC"/>
    <w:rsid w:val="004D0F9B"/>
    <w:rsid w:val="004D3DEF"/>
    <w:rsid w:val="004D581E"/>
    <w:rsid w:val="004D6EA5"/>
    <w:rsid w:val="004E251C"/>
    <w:rsid w:val="004E55CC"/>
    <w:rsid w:val="004E5D1A"/>
    <w:rsid w:val="004F3C4B"/>
    <w:rsid w:val="004F4C3F"/>
    <w:rsid w:val="00505FE2"/>
    <w:rsid w:val="00507089"/>
    <w:rsid w:val="00510AB3"/>
    <w:rsid w:val="00520257"/>
    <w:rsid w:val="00525F85"/>
    <w:rsid w:val="005318C1"/>
    <w:rsid w:val="005439C4"/>
    <w:rsid w:val="00546AB1"/>
    <w:rsid w:val="00554304"/>
    <w:rsid w:val="00556D28"/>
    <w:rsid w:val="00557761"/>
    <w:rsid w:val="00557EEA"/>
    <w:rsid w:val="00564C5D"/>
    <w:rsid w:val="005703D5"/>
    <w:rsid w:val="00572FAC"/>
    <w:rsid w:val="0058111E"/>
    <w:rsid w:val="00581BE4"/>
    <w:rsid w:val="00583C18"/>
    <w:rsid w:val="00584833"/>
    <w:rsid w:val="00593B7C"/>
    <w:rsid w:val="005A49C1"/>
    <w:rsid w:val="005A7024"/>
    <w:rsid w:val="005A7AA1"/>
    <w:rsid w:val="005B2433"/>
    <w:rsid w:val="005B4CC6"/>
    <w:rsid w:val="005B76AE"/>
    <w:rsid w:val="005B7AAB"/>
    <w:rsid w:val="005C2257"/>
    <w:rsid w:val="005C2CF5"/>
    <w:rsid w:val="005D1038"/>
    <w:rsid w:val="005D66DD"/>
    <w:rsid w:val="005D6BDC"/>
    <w:rsid w:val="005E69FF"/>
    <w:rsid w:val="005E6CC2"/>
    <w:rsid w:val="00603DB7"/>
    <w:rsid w:val="00604989"/>
    <w:rsid w:val="00604B7E"/>
    <w:rsid w:val="00605C33"/>
    <w:rsid w:val="00606257"/>
    <w:rsid w:val="00616FD4"/>
    <w:rsid w:val="0062093D"/>
    <w:rsid w:val="00620A02"/>
    <w:rsid w:val="00622962"/>
    <w:rsid w:val="00623B86"/>
    <w:rsid w:val="00624888"/>
    <w:rsid w:val="00634708"/>
    <w:rsid w:val="00634885"/>
    <w:rsid w:val="00650109"/>
    <w:rsid w:val="00660BBA"/>
    <w:rsid w:val="00664839"/>
    <w:rsid w:val="006651E9"/>
    <w:rsid w:val="00670222"/>
    <w:rsid w:val="00674F99"/>
    <w:rsid w:val="00680338"/>
    <w:rsid w:val="006804D3"/>
    <w:rsid w:val="0069565F"/>
    <w:rsid w:val="00695C78"/>
    <w:rsid w:val="006961AE"/>
    <w:rsid w:val="006A2554"/>
    <w:rsid w:val="006A419E"/>
    <w:rsid w:val="006B0C26"/>
    <w:rsid w:val="006B6574"/>
    <w:rsid w:val="006C08DC"/>
    <w:rsid w:val="006C17AE"/>
    <w:rsid w:val="006C467A"/>
    <w:rsid w:val="006C5F7C"/>
    <w:rsid w:val="006C6E13"/>
    <w:rsid w:val="006C7375"/>
    <w:rsid w:val="006E734E"/>
    <w:rsid w:val="006F2D6B"/>
    <w:rsid w:val="0070179F"/>
    <w:rsid w:val="00704A4A"/>
    <w:rsid w:val="00710206"/>
    <w:rsid w:val="007108F8"/>
    <w:rsid w:val="0071386F"/>
    <w:rsid w:val="00715A43"/>
    <w:rsid w:val="00727A91"/>
    <w:rsid w:val="00730CBC"/>
    <w:rsid w:val="0073360C"/>
    <w:rsid w:val="00742573"/>
    <w:rsid w:val="007443E2"/>
    <w:rsid w:val="00746A54"/>
    <w:rsid w:val="00746AAA"/>
    <w:rsid w:val="0074799B"/>
    <w:rsid w:val="00752C32"/>
    <w:rsid w:val="00755D41"/>
    <w:rsid w:val="007564EB"/>
    <w:rsid w:val="00760236"/>
    <w:rsid w:val="007657BD"/>
    <w:rsid w:val="00777253"/>
    <w:rsid w:val="007820F7"/>
    <w:rsid w:val="00785990"/>
    <w:rsid w:val="00790DC9"/>
    <w:rsid w:val="00790F6C"/>
    <w:rsid w:val="00792282"/>
    <w:rsid w:val="007977A3"/>
    <w:rsid w:val="007A0A56"/>
    <w:rsid w:val="007A4CCA"/>
    <w:rsid w:val="007A6164"/>
    <w:rsid w:val="007B722B"/>
    <w:rsid w:val="007C22D5"/>
    <w:rsid w:val="007C6EAC"/>
    <w:rsid w:val="007D065C"/>
    <w:rsid w:val="007D1054"/>
    <w:rsid w:val="007D1529"/>
    <w:rsid w:val="007D520E"/>
    <w:rsid w:val="007D6B50"/>
    <w:rsid w:val="007E0459"/>
    <w:rsid w:val="007E1D41"/>
    <w:rsid w:val="007E7F7E"/>
    <w:rsid w:val="007F24CD"/>
    <w:rsid w:val="007F36E2"/>
    <w:rsid w:val="007F5175"/>
    <w:rsid w:val="00801437"/>
    <w:rsid w:val="00804CDF"/>
    <w:rsid w:val="008067B4"/>
    <w:rsid w:val="008106D6"/>
    <w:rsid w:val="00812C75"/>
    <w:rsid w:val="00812D7C"/>
    <w:rsid w:val="00817746"/>
    <w:rsid w:val="00830EC6"/>
    <w:rsid w:val="008326A0"/>
    <w:rsid w:val="00832CEC"/>
    <w:rsid w:val="00834F0D"/>
    <w:rsid w:val="00835086"/>
    <w:rsid w:val="008439A0"/>
    <w:rsid w:val="0085382B"/>
    <w:rsid w:val="0086181C"/>
    <w:rsid w:val="008636E4"/>
    <w:rsid w:val="0086524B"/>
    <w:rsid w:val="00866D7D"/>
    <w:rsid w:val="00867057"/>
    <w:rsid w:val="008670DF"/>
    <w:rsid w:val="00873619"/>
    <w:rsid w:val="00883494"/>
    <w:rsid w:val="0088370A"/>
    <w:rsid w:val="0088629E"/>
    <w:rsid w:val="00891582"/>
    <w:rsid w:val="008948CD"/>
    <w:rsid w:val="00896038"/>
    <w:rsid w:val="008A434B"/>
    <w:rsid w:val="008A4603"/>
    <w:rsid w:val="008A4BBF"/>
    <w:rsid w:val="008A6F8D"/>
    <w:rsid w:val="008B36DD"/>
    <w:rsid w:val="008B6ADF"/>
    <w:rsid w:val="008C7195"/>
    <w:rsid w:val="008D4961"/>
    <w:rsid w:val="008D5C94"/>
    <w:rsid w:val="008E11FA"/>
    <w:rsid w:val="008E300E"/>
    <w:rsid w:val="008E4FA4"/>
    <w:rsid w:val="008E5131"/>
    <w:rsid w:val="008E78B2"/>
    <w:rsid w:val="008F192F"/>
    <w:rsid w:val="008F303D"/>
    <w:rsid w:val="008F4ECA"/>
    <w:rsid w:val="008F59A0"/>
    <w:rsid w:val="00900AA0"/>
    <w:rsid w:val="0090241C"/>
    <w:rsid w:val="00903782"/>
    <w:rsid w:val="00907039"/>
    <w:rsid w:val="00911941"/>
    <w:rsid w:val="009122F9"/>
    <w:rsid w:val="009133B3"/>
    <w:rsid w:val="00914230"/>
    <w:rsid w:val="009179C0"/>
    <w:rsid w:val="00921623"/>
    <w:rsid w:val="00931AFE"/>
    <w:rsid w:val="00936143"/>
    <w:rsid w:val="009401D7"/>
    <w:rsid w:val="00941957"/>
    <w:rsid w:val="009450D2"/>
    <w:rsid w:val="00945D49"/>
    <w:rsid w:val="00954F51"/>
    <w:rsid w:val="00960220"/>
    <w:rsid w:val="00963766"/>
    <w:rsid w:val="00971905"/>
    <w:rsid w:val="009723F0"/>
    <w:rsid w:val="00973EB6"/>
    <w:rsid w:val="00985BB7"/>
    <w:rsid w:val="009872F5"/>
    <w:rsid w:val="00987AC6"/>
    <w:rsid w:val="009910CA"/>
    <w:rsid w:val="00991AC4"/>
    <w:rsid w:val="00996E41"/>
    <w:rsid w:val="009A6CDB"/>
    <w:rsid w:val="009B0E69"/>
    <w:rsid w:val="009C11E1"/>
    <w:rsid w:val="009C1E97"/>
    <w:rsid w:val="009D2465"/>
    <w:rsid w:val="009D46A9"/>
    <w:rsid w:val="009E451C"/>
    <w:rsid w:val="009E7013"/>
    <w:rsid w:val="009F0A38"/>
    <w:rsid w:val="009F2C42"/>
    <w:rsid w:val="009F7679"/>
    <w:rsid w:val="009F7F30"/>
    <w:rsid w:val="00A022E2"/>
    <w:rsid w:val="00A02341"/>
    <w:rsid w:val="00A03E31"/>
    <w:rsid w:val="00A2144F"/>
    <w:rsid w:val="00A22A90"/>
    <w:rsid w:val="00A43540"/>
    <w:rsid w:val="00A437F5"/>
    <w:rsid w:val="00A4407B"/>
    <w:rsid w:val="00A469CC"/>
    <w:rsid w:val="00A47564"/>
    <w:rsid w:val="00A52517"/>
    <w:rsid w:val="00A638E7"/>
    <w:rsid w:val="00A655FA"/>
    <w:rsid w:val="00A71FC7"/>
    <w:rsid w:val="00A740A2"/>
    <w:rsid w:val="00A76998"/>
    <w:rsid w:val="00A8317F"/>
    <w:rsid w:val="00A83E21"/>
    <w:rsid w:val="00A83EE9"/>
    <w:rsid w:val="00A84461"/>
    <w:rsid w:val="00A84989"/>
    <w:rsid w:val="00A862BE"/>
    <w:rsid w:val="00A937FB"/>
    <w:rsid w:val="00A97F53"/>
    <w:rsid w:val="00AA284D"/>
    <w:rsid w:val="00AA488F"/>
    <w:rsid w:val="00AA6BC4"/>
    <w:rsid w:val="00AB0E06"/>
    <w:rsid w:val="00AB41B7"/>
    <w:rsid w:val="00AB6BA3"/>
    <w:rsid w:val="00AC674C"/>
    <w:rsid w:val="00AD1120"/>
    <w:rsid w:val="00AE1080"/>
    <w:rsid w:val="00AE2636"/>
    <w:rsid w:val="00AE317F"/>
    <w:rsid w:val="00AF36BA"/>
    <w:rsid w:val="00AF5DBB"/>
    <w:rsid w:val="00B0254A"/>
    <w:rsid w:val="00B03848"/>
    <w:rsid w:val="00B038C5"/>
    <w:rsid w:val="00B04A21"/>
    <w:rsid w:val="00B1025B"/>
    <w:rsid w:val="00B12567"/>
    <w:rsid w:val="00B177E7"/>
    <w:rsid w:val="00B2555C"/>
    <w:rsid w:val="00B271B5"/>
    <w:rsid w:val="00B341BF"/>
    <w:rsid w:val="00B378D4"/>
    <w:rsid w:val="00B419FF"/>
    <w:rsid w:val="00B42AB2"/>
    <w:rsid w:val="00B47996"/>
    <w:rsid w:val="00B5118B"/>
    <w:rsid w:val="00B51705"/>
    <w:rsid w:val="00B5275C"/>
    <w:rsid w:val="00B52C18"/>
    <w:rsid w:val="00B76FC0"/>
    <w:rsid w:val="00B77372"/>
    <w:rsid w:val="00B84723"/>
    <w:rsid w:val="00B9131A"/>
    <w:rsid w:val="00B93E88"/>
    <w:rsid w:val="00B97E49"/>
    <w:rsid w:val="00BA2614"/>
    <w:rsid w:val="00BB2F4D"/>
    <w:rsid w:val="00BC087F"/>
    <w:rsid w:val="00BC37C9"/>
    <w:rsid w:val="00BC4693"/>
    <w:rsid w:val="00BC71C7"/>
    <w:rsid w:val="00BD1843"/>
    <w:rsid w:val="00BE3788"/>
    <w:rsid w:val="00BE5474"/>
    <w:rsid w:val="00BF36C0"/>
    <w:rsid w:val="00BF61C6"/>
    <w:rsid w:val="00BF6FDB"/>
    <w:rsid w:val="00C04513"/>
    <w:rsid w:val="00C05C39"/>
    <w:rsid w:val="00C0765C"/>
    <w:rsid w:val="00C07EEF"/>
    <w:rsid w:val="00C33460"/>
    <w:rsid w:val="00C3502F"/>
    <w:rsid w:val="00C43E09"/>
    <w:rsid w:val="00C51D07"/>
    <w:rsid w:val="00C52F25"/>
    <w:rsid w:val="00C60880"/>
    <w:rsid w:val="00C611B7"/>
    <w:rsid w:val="00C61519"/>
    <w:rsid w:val="00C6188C"/>
    <w:rsid w:val="00C65CC3"/>
    <w:rsid w:val="00C70BA4"/>
    <w:rsid w:val="00C71097"/>
    <w:rsid w:val="00C71563"/>
    <w:rsid w:val="00C767C2"/>
    <w:rsid w:val="00C8309E"/>
    <w:rsid w:val="00C84EC1"/>
    <w:rsid w:val="00C875B3"/>
    <w:rsid w:val="00CA084E"/>
    <w:rsid w:val="00CB3659"/>
    <w:rsid w:val="00CB5033"/>
    <w:rsid w:val="00CB6744"/>
    <w:rsid w:val="00CC1818"/>
    <w:rsid w:val="00CC396D"/>
    <w:rsid w:val="00CC4E85"/>
    <w:rsid w:val="00CD243A"/>
    <w:rsid w:val="00CD2EDA"/>
    <w:rsid w:val="00CE7FF4"/>
    <w:rsid w:val="00CF2286"/>
    <w:rsid w:val="00CF45AD"/>
    <w:rsid w:val="00CF65B9"/>
    <w:rsid w:val="00D00034"/>
    <w:rsid w:val="00D10964"/>
    <w:rsid w:val="00D129B4"/>
    <w:rsid w:val="00D13DC1"/>
    <w:rsid w:val="00D14A9C"/>
    <w:rsid w:val="00D17200"/>
    <w:rsid w:val="00D26493"/>
    <w:rsid w:val="00D27822"/>
    <w:rsid w:val="00D30689"/>
    <w:rsid w:val="00D33921"/>
    <w:rsid w:val="00D42C79"/>
    <w:rsid w:val="00D54A84"/>
    <w:rsid w:val="00D54FE3"/>
    <w:rsid w:val="00D55F4E"/>
    <w:rsid w:val="00D61A11"/>
    <w:rsid w:val="00D65519"/>
    <w:rsid w:val="00D6731A"/>
    <w:rsid w:val="00D7301D"/>
    <w:rsid w:val="00D7615D"/>
    <w:rsid w:val="00D906E8"/>
    <w:rsid w:val="00D94079"/>
    <w:rsid w:val="00DA11F8"/>
    <w:rsid w:val="00DA557F"/>
    <w:rsid w:val="00DB47E8"/>
    <w:rsid w:val="00DB5B3E"/>
    <w:rsid w:val="00DB7CE9"/>
    <w:rsid w:val="00DC537A"/>
    <w:rsid w:val="00DC79EB"/>
    <w:rsid w:val="00DC7EF9"/>
    <w:rsid w:val="00DD3CBF"/>
    <w:rsid w:val="00DF0348"/>
    <w:rsid w:val="00DF0999"/>
    <w:rsid w:val="00DF1BE5"/>
    <w:rsid w:val="00DF3FE3"/>
    <w:rsid w:val="00DF41A9"/>
    <w:rsid w:val="00E049C9"/>
    <w:rsid w:val="00E1009D"/>
    <w:rsid w:val="00E27545"/>
    <w:rsid w:val="00E32175"/>
    <w:rsid w:val="00E3377F"/>
    <w:rsid w:val="00E33E0B"/>
    <w:rsid w:val="00E36514"/>
    <w:rsid w:val="00E365A6"/>
    <w:rsid w:val="00E36718"/>
    <w:rsid w:val="00E434AD"/>
    <w:rsid w:val="00E4456B"/>
    <w:rsid w:val="00E55B01"/>
    <w:rsid w:val="00E6482C"/>
    <w:rsid w:val="00E67FB1"/>
    <w:rsid w:val="00E7107A"/>
    <w:rsid w:val="00E75886"/>
    <w:rsid w:val="00E772FA"/>
    <w:rsid w:val="00E8094B"/>
    <w:rsid w:val="00E80F13"/>
    <w:rsid w:val="00E867E0"/>
    <w:rsid w:val="00E87042"/>
    <w:rsid w:val="00E90029"/>
    <w:rsid w:val="00E91ECE"/>
    <w:rsid w:val="00EA2687"/>
    <w:rsid w:val="00EB00F7"/>
    <w:rsid w:val="00EB1030"/>
    <w:rsid w:val="00EB57F9"/>
    <w:rsid w:val="00EB76AF"/>
    <w:rsid w:val="00EC659A"/>
    <w:rsid w:val="00EE0C4B"/>
    <w:rsid w:val="00EE3192"/>
    <w:rsid w:val="00EE31D5"/>
    <w:rsid w:val="00EF2A3C"/>
    <w:rsid w:val="00EF3CEA"/>
    <w:rsid w:val="00EF7A31"/>
    <w:rsid w:val="00F0218D"/>
    <w:rsid w:val="00F041F4"/>
    <w:rsid w:val="00F10F9C"/>
    <w:rsid w:val="00F12B3B"/>
    <w:rsid w:val="00F16CDE"/>
    <w:rsid w:val="00F229F1"/>
    <w:rsid w:val="00F3357D"/>
    <w:rsid w:val="00F36E9A"/>
    <w:rsid w:val="00F4018E"/>
    <w:rsid w:val="00F4151C"/>
    <w:rsid w:val="00F46C0B"/>
    <w:rsid w:val="00F546B3"/>
    <w:rsid w:val="00F54966"/>
    <w:rsid w:val="00F564C2"/>
    <w:rsid w:val="00F62F7D"/>
    <w:rsid w:val="00F6360A"/>
    <w:rsid w:val="00F71393"/>
    <w:rsid w:val="00F71690"/>
    <w:rsid w:val="00F73A76"/>
    <w:rsid w:val="00F823E6"/>
    <w:rsid w:val="00F83A9C"/>
    <w:rsid w:val="00F86A31"/>
    <w:rsid w:val="00F9001A"/>
    <w:rsid w:val="00F9050F"/>
    <w:rsid w:val="00F91D04"/>
    <w:rsid w:val="00FA1BE7"/>
    <w:rsid w:val="00FA3FF0"/>
    <w:rsid w:val="00FA7129"/>
    <w:rsid w:val="00FB6063"/>
    <w:rsid w:val="00FC588C"/>
    <w:rsid w:val="00FD141D"/>
    <w:rsid w:val="00FD4A9C"/>
    <w:rsid w:val="00FD7AC3"/>
    <w:rsid w:val="00FE4AF2"/>
    <w:rsid w:val="00FF5603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FFF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0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6CC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2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22F9"/>
  </w:style>
  <w:style w:type="paragraph" w:styleId="a7">
    <w:name w:val="footer"/>
    <w:basedOn w:val="a"/>
    <w:link w:val="a8"/>
    <w:uiPriority w:val="99"/>
    <w:unhideWhenUsed/>
    <w:rsid w:val="00912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22F9"/>
  </w:style>
  <w:style w:type="paragraph" w:styleId="a9">
    <w:name w:val="List Paragraph"/>
    <w:basedOn w:val="a"/>
    <w:uiPriority w:val="34"/>
    <w:qFormat/>
    <w:rsid w:val="007D065C"/>
    <w:pPr>
      <w:ind w:left="720"/>
      <w:contextualSpacing/>
    </w:pPr>
  </w:style>
  <w:style w:type="paragraph" w:styleId="aa">
    <w:name w:val="Revision"/>
    <w:hidden/>
    <w:uiPriority w:val="99"/>
    <w:semiHidden/>
    <w:rsid w:val="004155F9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DF41A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F41A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F41A9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DF41A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F41A9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F41A9"/>
    <w:rPr>
      <w:vertAlign w:val="superscript"/>
    </w:rPr>
  </w:style>
  <w:style w:type="paragraph" w:styleId="af1">
    <w:name w:val="Normal (Web)"/>
    <w:basedOn w:val="a"/>
    <w:uiPriority w:val="99"/>
    <w:unhideWhenUsed/>
    <w:rsid w:val="00AF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022E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022E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022E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022E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022E2"/>
    <w:rPr>
      <w:b/>
      <w:bCs/>
      <w:sz w:val="20"/>
      <w:szCs w:val="20"/>
    </w:rPr>
  </w:style>
  <w:style w:type="character" w:styleId="af7">
    <w:name w:val="Hyperlink"/>
    <w:basedOn w:val="a0"/>
    <w:uiPriority w:val="99"/>
    <w:unhideWhenUsed/>
    <w:rsid w:val="00F546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0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6CC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2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22F9"/>
  </w:style>
  <w:style w:type="paragraph" w:styleId="a7">
    <w:name w:val="footer"/>
    <w:basedOn w:val="a"/>
    <w:link w:val="a8"/>
    <w:uiPriority w:val="99"/>
    <w:unhideWhenUsed/>
    <w:rsid w:val="00912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22F9"/>
  </w:style>
  <w:style w:type="paragraph" w:styleId="a9">
    <w:name w:val="List Paragraph"/>
    <w:basedOn w:val="a"/>
    <w:uiPriority w:val="34"/>
    <w:qFormat/>
    <w:rsid w:val="007D065C"/>
    <w:pPr>
      <w:ind w:left="720"/>
      <w:contextualSpacing/>
    </w:pPr>
  </w:style>
  <w:style w:type="paragraph" w:styleId="aa">
    <w:name w:val="Revision"/>
    <w:hidden/>
    <w:uiPriority w:val="99"/>
    <w:semiHidden/>
    <w:rsid w:val="004155F9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DF41A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F41A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F41A9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DF41A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F41A9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F41A9"/>
    <w:rPr>
      <w:vertAlign w:val="superscript"/>
    </w:rPr>
  </w:style>
  <w:style w:type="paragraph" w:styleId="af1">
    <w:name w:val="Normal (Web)"/>
    <w:basedOn w:val="a"/>
    <w:uiPriority w:val="99"/>
    <w:unhideWhenUsed/>
    <w:rsid w:val="00AF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022E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022E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022E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022E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022E2"/>
    <w:rPr>
      <w:b/>
      <w:bCs/>
      <w:sz w:val="20"/>
      <w:szCs w:val="20"/>
    </w:rPr>
  </w:style>
  <w:style w:type="character" w:styleId="af7">
    <w:name w:val="Hyperlink"/>
    <w:basedOn w:val="a0"/>
    <w:uiPriority w:val="99"/>
    <w:unhideWhenUsed/>
    <w:rsid w:val="00F546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2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1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2E94EB96EFD04565C8079F7DBE462E1ADD14BE1F98D0A2D927F1F61B3B66A0B23B14ACDE336449EEFF21C2EBA6CB6C3C4E72633E7261F02a7g3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2629E12828599B5B1840D8CC05F6CEEC0E91BFCEB29071A8C30A41E54799E6954F3B4B986499CBFF4CC3CFF3C70FC03C52281EEA99D54Dy2QA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14B95-970C-4815-A2FF-C5611274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31</Pages>
  <Words>5612</Words>
  <Characters>31994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Алексей Константинович</dc:creator>
  <cp:lastModifiedBy>Пичугина Мария Юрьевна</cp:lastModifiedBy>
  <cp:revision>5</cp:revision>
  <cp:lastPrinted>2021-02-02T09:37:00Z</cp:lastPrinted>
  <dcterms:created xsi:type="dcterms:W3CDTF">2021-04-09T15:08:00Z</dcterms:created>
  <dcterms:modified xsi:type="dcterms:W3CDTF">2021-04-12T09:54:00Z</dcterms:modified>
</cp:coreProperties>
</file>