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695" w:rsidRPr="00BD3695" w:rsidRDefault="00BD3695" w:rsidP="00BD36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BD3695">
        <w:rPr>
          <w:rFonts w:ascii="Times New Roman" w:hAnsi="Times New Roman" w:cs="Times New Roman"/>
          <w:sz w:val="24"/>
          <w:szCs w:val="28"/>
        </w:rPr>
        <w:t>Приложение</w:t>
      </w:r>
    </w:p>
    <w:p w:rsidR="00BD3695" w:rsidRPr="00BD3695" w:rsidRDefault="00BD3695" w:rsidP="00BD36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BD3695">
        <w:rPr>
          <w:rFonts w:ascii="Times New Roman" w:hAnsi="Times New Roman" w:cs="Times New Roman"/>
          <w:sz w:val="24"/>
          <w:szCs w:val="28"/>
        </w:rPr>
        <w:t>к письму ФНС России</w:t>
      </w:r>
    </w:p>
    <w:p w:rsidR="00BD3695" w:rsidRPr="00BD3695" w:rsidRDefault="00BD3695" w:rsidP="00BD36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BD3695">
        <w:rPr>
          <w:rFonts w:ascii="Times New Roman" w:hAnsi="Times New Roman" w:cs="Times New Roman"/>
          <w:sz w:val="24"/>
          <w:szCs w:val="28"/>
        </w:rPr>
        <w:t xml:space="preserve">от </w:t>
      </w:r>
      <w:proofErr w:type="gramStart"/>
      <w:r w:rsidRPr="00BD3695">
        <w:rPr>
          <w:rFonts w:ascii="Times New Roman" w:hAnsi="Times New Roman" w:cs="Times New Roman"/>
          <w:sz w:val="24"/>
          <w:szCs w:val="28"/>
        </w:rPr>
        <w:t>«</w:t>
      </w:r>
      <w:r>
        <w:rPr>
          <w:rFonts w:ascii="Times New Roman" w:hAnsi="Times New Roman" w:cs="Times New Roman"/>
          <w:sz w:val="24"/>
          <w:szCs w:val="28"/>
        </w:rPr>
        <w:t xml:space="preserve"> 02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D3695">
        <w:rPr>
          <w:rFonts w:ascii="Times New Roman" w:hAnsi="Times New Roman" w:cs="Times New Roman"/>
          <w:sz w:val="24"/>
          <w:szCs w:val="28"/>
        </w:rPr>
        <w:t xml:space="preserve">» </w:t>
      </w:r>
      <w:r>
        <w:rPr>
          <w:rFonts w:ascii="Times New Roman" w:hAnsi="Times New Roman" w:cs="Times New Roman"/>
          <w:sz w:val="24"/>
          <w:szCs w:val="28"/>
        </w:rPr>
        <w:t>мая</w:t>
      </w:r>
      <w:r w:rsidRPr="00BD3695">
        <w:rPr>
          <w:rFonts w:ascii="Times New Roman" w:hAnsi="Times New Roman" w:cs="Times New Roman"/>
          <w:sz w:val="24"/>
          <w:szCs w:val="28"/>
        </w:rPr>
        <w:t xml:space="preserve"> 2024 г.</w:t>
      </w:r>
    </w:p>
    <w:p w:rsidR="00BD3695" w:rsidRPr="00BD3695" w:rsidRDefault="00BD3695" w:rsidP="00BD36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BD3695">
        <w:rPr>
          <w:rFonts w:ascii="Times New Roman" w:hAnsi="Times New Roman" w:cs="Times New Roman"/>
          <w:sz w:val="24"/>
          <w:szCs w:val="28"/>
        </w:rPr>
        <w:t xml:space="preserve">№ </w:t>
      </w:r>
      <w:r>
        <w:rPr>
          <w:rFonts w:ascii="Times New Roman" w:hAnsi="Times New Roman" w:cs="Times New Roman"/>
          <w:sz w:val="24"/>
          <w:szCs w:val="28"/>
        </w:rPr>
        <w:t>СД-4-21/5182</w:t>
      </w:r>
      <w:r>
        <w:rPr>
          <w:rFonts w:ascii="Times New Roman" w:hAnsi="Times New Roman" w:cs="Times New Roman"/>
          <w:sz w:val="24"/>
          <w:szCs w:val="28"/>
          <w:lang w:val="en-US"/>
        </w:rPr>
        <w:t>@</w:t>
      </w:r>
    </w:p>
    <w:p w:rsidR="00BD3695" w:rsidRDefault="00BD3695" w:rsidP="00BD3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695" w:rsidRPr="00BD3695" w:rsidRDefault="00BD3695" w:rsidP="00BD3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695">
        <w:rPr>
          <w:rFonts w:ascii="Times New Roman" w:hAnsi="Times New Roman" w:cs="Times New Roman"/>
          <w:b/>
          <w:sz w:val="28"/>
          <w:szCs w:val="28"/>
        </w:rPr>
        <w:t>Обзор определяющей судебной практики Верховного Суда Российской Федерации по спорам, завершенным в I квартале 2024 года, по вопросам налогообложения имущества</w:t>
      </w:r>
    </w:p>
    <w:p w:rsidR="00BD3695" w:rsidRDefault="00BD3695" w:rsidP="00BD3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695">
        <w:rPr>
          <w:rFonts w:ascii="Times New Roman" w:hAnsi="Times New Roman" w:cs="Times New Roman"/>
          <w:b/>
          <w:sz w:val="28"/>
          <w:szCs w:val="28"/>
        </w:rPr>
        <w:t>1. Определение Верховного Суда Российской Федерации (далее – Верховный Суд) от 16.01.2024 № 305-ЭС23-27186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ОАО (далее в настоящем пункте – общество, налогоплательщик, заявитель) обратилось в Арбитражный суд Московской области с заявлением к налоговому органу о признании незаконными действий по увеличению ставки земельного налога на 2021 год с 0,3% до 1,5% в отношении 51 земельного участка.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Налоговым органом в адрес общества направлено сообщение об исчисленной сумме земельного налога, в котором произведен расчет земельного налога за период 2021 год по земельным участкам с видом разрешенного использования «для сельскохозяйственного производства» с применением ставки налога в размере 1,5%.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Основанием для начисления налога с применением ставки налога 1,5% явилась информация в отношении земельных участков от уполномоченного органа по проведению муниципального земельного контроля, поступившая в порядке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3695">
        <w:rPr>
          <w:rFonts w:ascii="Times New Roman" w:hAnsi="Times New Roman" w:cs="Times New Roman"/>
          <w:sz w:val="28"/>
          <w:szCs w:val="28"/>
        </w:rPr>
        <w:t>предусмотренном пунктом 18 статьи 396 Налогового кодекса Российской Федерации (далее – Кодекс), а также документы (акты осмотра соблюдения земельного законодательства за 2020-2021 гг.), подтверждающие неиспользование земельных участков по целевому назначению.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Общество с применением налоговой ставки 1,5% в отношении земельных участков не согласилось, полагая, что должна применяться ставка 0,3%, в связи с чем обратилось в арбитражный суд с заявлением.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Суд первой инстанции, ссылаясь на положения статей 394, 396 Кодекса, статей 1, 7 Земельного кодекса Российской Федерации, статей 5, 7, 123 Лесного кодекса Российской Федерации, Федерального закона от 10.01.2002 № 7-ФЗ «Об охране окружающей среды», Закона Московской области от 30.12.2014 № 191/2014-ОЗ «О благоустройстве в Московской области», правовую позицию Конституционного суда Российской Федерации, изложенную в Постановлении от 02.06.2015 № 12-П, постановления Правительства Российской Федерации от 21.09.2020 № 1509, от 18.09.2020 № 1482, сочтя, что обществом в материалы дела представлены относимые и допустимые доказательства использовании спорных земельных участков в 2021 г. по целевому назначению, пришел к выводу о том, что действия налогового органа по увеличению ставки с 0,3% до 1,5% при формировании сообщения об исчисленном земельном налоге за 2021 год являются незаконными, поскольку основным видом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695">
        <w:rPr>
          <w:rFonts w:ascii="Times New Roman" w:hAnsi="Times New Roman" w:cs="Times New Roman"/>
          <w:sz w:val="28"/>
          <w:szCs w:val="28"/>
        </w:rPr>
        <w:t xml:space="preserve">деятельности общества является </w:t>
      </w:r>
      <w:r w:rsidRPr="00BD3695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сельскохозяйственное производство, применяется система налогообложения в виде ЕСХН.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Отменяя решение суда первой инстанции и отказывая в удовлетворении требований общества, суд апелляционной инстанции, руководствуясь правовыми позициями Верховного Суда, изложенными в определениях от 14.02.2018 № 306-КГ17-22570 по делу № А65-706/2017, от 06.03.2015 № 306-КГ14-8182 по делу № А55-26412/2013, от 27.02.2017 по делу № А41-106956/2015, от 16.02.2018 по делу № А65-560/2017, отметил, что налоговая ставка земельного налога в размере 0,3% является налоговой льготой, предоставляемой в целях стимулирования использования сельскохозяйственных земель по их прямому назначению, право на применение которой должен доказать налогоплательщик; исследовав и оценив в соответствии со статьей 71 Арбитражного процессуального кодекса Российской Федерации (далее – АПК РФ), представленные в материалы дела доказательства, пришел к выводу о том, что обществом не доказано использование спорных земельных участков для ведения сельскохозяйственного производства, ввиду чего основания для удовлетворения заявленных требований в настоящем случае отсутствуют.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Арбитражный суд Московского округа не усмотрел оснований не согласиться с выводами суда апелляционной инстанции.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 xml:space="preserve">Как указано судом кассационной инстанции, судом апелляционной инстанции обоснованно приняты во внимание представленные в материалы дела акты планового (рейдового) осмотра земельных участков, принадлежащих на праве собственности обществу (предписание Управления по городу Москва, Московской и Тульской областям </w:t>
      </w:r>
      <w:proofErr w:type="spellStart"/>
      <w:r w:rsidRPr="00BD3695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BD3695">
        <w:rPr>
          <w:rFonts w:ascii="Times New Roman" w:hAnsi="Times New Roman" w:cs="Times New Roman"/>
          <w:sz w:val="28"/>
          <w:szCs w:val="28"/>
        </w:rPr>
        <w:t xml:space="preserve"> об устранении выявленного нарушения требований земельного законодательства № 20-147 (з)/2018 от 03.08.2018; заключения Управления по городу Москва, Московской и Тульской областям </w:t>
      </w:r>
      <w:proofErr w:type="spellStart"/>
      <w:r w:rsidRPr="00BD3695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BD3695">
        <w:rPr>
          <w:rFonts w:ascii="Times New Roman" w:hAnsi="Times New Roman" w:cs="Times New Roman"/>
          <w:sz w:val="28"/>
          <w:szCs w:val="28"/>
        </w:rPr>
        <w:t xml:space="preserve"> по результатам проведения выездного обследования земельных участков, предостережения о недопустимости нарушения обязательных требований, подтверждающие факт неиспользования спорных земельных участков по целевому назначению).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 xml:space="preserve">Приняв во внимание положения пунктов 7, 8 постановления Правительства Российской Федерации от 21.09.2020 № 1509 «Об особенностях использования, охраны, защиты, воспроизводства лесов, расположенных на землях сельскохозяйственного назначения», суд апелляционной инстанции также отметил, что в материалах дела отсутствует сведения (информация) о направлении обществом в адрес Минсельхоза Московской области, органов </w:t>
      </w:r>
      <w:proofErr w:type="spellStart"/>
      <w:r w:rsidRPr="00BD369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D3695">
        <w:rPr>
          <w:rFonts w:ascii="Times New Roman" w:hAnsi="Times New Roman" w:cs="Times New Roman"/>
          <w:sz w:val="28"/>
          <w:szCs w:val="28"/>
        </w:rPr>
        <w:t xml:space="preserve"> уведомлений об использовании лесов, находящихся на земельных участках сельскохозяйственного назначения, в связи с чем пришел к обоснованному выводу о том, что наличие на земельных участках (категория земель земли сельскохозяйственного назначения, вид разрешенного использования для сельскохозяйственного производства) древесно-кустарниковой растительности, болота, водных объектов является признаком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695">
        <w:rPr>
          <w:rFonts w:ascii="Times New Roman" w:hAnsi="Times New Roman" w:cs="Times New Roman"/>
          <w:sz w:val="28"/>
          <w:szCs w:val="28"/>
        </w:rPr>
        <w:t xml:space="preserve">неиспользования земельных участков по </w:t>
      </w:r>
      <w:r w:rsidRPr="00BD3695">
        <w:rPr>
          <w:rFonts w:ascii="Times New Roman" w:hAnsi="Times New Roman" w:cs="Times New Roman"/>
          <w:sz w:val="28"/>
          <w:szCs w:val="28"/>
        </w:rPr>
        <w:lastRenderedPageBreak/>
        <w:t>целевому назначению или использования с нарушением законодательства Российской Федерации.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Апелляционный суд обоснованно отметил, что в собственности общества в спорный период имелось 122 земельных участка с видом разрешенного использования - для сельскохозяйственного производства, а именно: 38 земельных участков с применяемой налоговой ставкой в размере, не превышающем 0,3%; 84 земельных участка с применяемой налоговой ставкой в размере 1,5% (из них - 51 земельный участок, по которым ставка 1,5% - оспаривается, 33 земельных участка со ставкой 1,5% - не оспаривается). Представленные обществом документы (договоры поставки, купли-продажи, платежные поручения и др.) не подтверждают использование именно спорных земельных участков для сельскохозяйственного производства.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 xml:space="preserve">Оценив доводы обеих сторон спора, суд кассационной инстанции согласился с выводами суда апелляционной инстанции о </w:t>
      </w:r>
      <w:proofErr w:type="spellStart"/>
      <w:r w:rsidRPr="00BD3695">
        <w:rPr>
          <w:rFonts w:ascii="Times New Roman" w:hAnsi="Times New Roman" w:cs="Times New Roman"/>
          <w:sz w:val="28"/>
          <w:szCs w:val="28"/>
        </w:rPr>
        <w:t>неподтверждении</w:t>
      </w:r>
      <w:proofErr w:type="spellEnd"/>
      <w:r w:rsidRPr="00BD3695">
        <w:rPr>
          <w:rFonts w:ascii="Times New Roman" w:hAnsi="Times New Roman" w:cs="Times New Roman"/>
          <w:sz w:val="28"/>
          <w:szCs w:val="28"/>
        </w:rPr>
        <w:t xml:space="preserve"> обществом права на применение льготной ставки налогообложения к рассматриваемым в настоящем деле земельным участкам в налоговом периоде 2021 года.</w:t>
      </w:r>
    </w:p>
    <w:p w:rsid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Определением Верховного Суда от 16.01.2024 № 305-ЭС23-27186 обществу отказано в передаче кассационной жалобы для рассмотрения в судебном заседании Судебной коллегии по экономическим спорам.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695">
        <w:rPr>
          <w:rFonts w:ascii="Times New Roman" w:hAnsi="Times New Roman" w:cs="Times New Roman"/>
          <w:b/>
          <w:sz w:val="28"/>
          <w:szCs w:val="28"/>
        </w:rPr>
        <w:t>2. Определение Верховного Суда от 09.02.2024 № 305-ЭС24-559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 xml:space="preserve">ТСН (далее в настоящем пункте – товарищество, налогоплательщик) обратилось в Арбитражный суд Московской области с заявлением к налоговому органу о признании недействительными требования об уплате налога, сбора, страховых взносов, пени, штрафа, процентов; сообщения об исчисленной налоговым органом сумме земельного налога за 2021 год; </w:t>
      </w:r>
      <w:proofErr w:type="spellStart"/>
      <w:r w:rsidRPr="00BD3695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BD3695">
        <w:rPr>
          <w:rFonts w:ascii="Times New Roman" w:hAnsi="Times New Roman" w:cs="Times New Roman"/>
          <w:sz w:val="28"/>
          <w:szCs w:val="28"/>
        </w:rPr>
        <w:t xml:space="preserve"> налогового органа произвести перерасчет земельного налога за период 2021 года по ставке 0,3% в отношении земельных участков переданных по соглашениям о совместном использовании земельных участков и используемых для сельскохозяйственного производства (далее – соглашения).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Как следует из материалов дела и установлено судами при рассмотрении дела по существу, налоговым органом сформировано сообщение об исчисленной сумме земельного налога за 2021 год в отношении всех принадлежащих налогоплательщику земельных участков с применением налоговой ставки в размере 1,5%.</w:t>
      </w:r>
    </w:p>
    <w:p w:rsid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Согласно сведениям, поступившим из органов осуществляющих государственный кадастровый учет и регистрацию прав на недвижимое имущество в соответствии с пунктом 4 статьи 85 Кодекса, товарищество в 2021 году являлось собственником 1 627 земельных участков с категорией земель – «земли сельскохозяйственного назначения», видом разрешенного использования – «для дачного хозяйства», «для дачного строительства».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Товарищество, не согласившись с исчислением налога по ставке 1,5%, обратилось с заявлением в арбитражный суд, ссылаясь на то, что при расчете земельного налога должна применяться пониженная ставка в размере 0,3%.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lastRenderedPageBreak/>
        <w:t xml:space="preserve">Вместе с тем суды, основываясь на положениях статей 387 - 391, 394 Кодекса, статьи 7 Земельного кодекса Российской Федерации, правовой позиции, изложенной Верховным Судом Российской Федерации в определениях от 21.12.2018 № 307-КГ18-20670, от 30.10.2018 № 305-КГ18-16987, учитывая письма Минфина России от 03.04.2019 № 03-05-04-02/23083, от 15.01.2020 № 03-05-06-02/1158 и ФНС России от 05.04.2019 № БС-4-21/6245@, от 19.06.2020 № БС-4-21/10095@, от 15.09.2021 № БС-4-21/13121@, положения Постановления Пленума Высшего Арбитражного Суда Российской Федерации от 30.07.2013 № 57 «О некоторых вопросах, возникающих при применении арбитражными судами части первой Налогового кодекса Российской Федерации», сделали вывод об обоснованном исчислении налоговым органом земельного налога с применением ставки, установленной Решением Совета депутатов муниципального образования городского округа </w:t>
      </w:r>
      <w:proofErr w:type="spellStart"/>
      <w:r w:rsidRPr="00BD3695">
        <w:rPr>
          <w:rFonts w:ascii="Times New Roman" w:hAnsi="Times New Roman" w:cs="Times New Roman"/>
          <w:sz w:val="28"/>
          <w:szCs w:val="28"/>
        </w:rPr>
        <w:t>Луховицы</w:t>
      </w:r>
      <w:proofErr w:type="spellEnd"/>
      <w:r w:rsidRPr="00BD3695">
        <w:rPr>
          <w:rFonts w:ascii="Times New Roman" w:hAnsi="Times New Roman" w:cs="Times New Roman"/>
          <w:sz w:val="28"/>
          <w:szCs w:val="28"/>
        </w:rPr>
        <w:t xml:space="preserve"> Московской области от 23.11.2017 № 579/58 «О земельном налоге» для земельных участков в размере 1,5%, поскольку земельные участки были использованы в предпринимательской деятельности, налогоплательщик по соглашениям о совместном использовании земельных участков намерен получать прибыль не от использования принадлежащих ему земельных участков для сельскохозяйственного производства, а от сдачи их в аренду, то есть исключительно от такой коммерческой деятельности, и не отвечает условиям для применения пониженной ставки земельного налога.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Суды указали, что при толковании условий соглашений можно сделать вывод о том, что указанные соглашения имеют все признаки договоров аренды. Таким образом, товарищество фактически являлось арендодателем по указанным соглашениям с целью получения прибыли от сдачи их в аренду.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Учитывая изложенное выше, суды пришли к выводу, что товарищество получает доход от предпринимательской деятельности. Налогоплательщик по соглашениям о совместном использовании земельных участков намерен получать прибыль не от использования принадлежащих ему земельных участков для сельскохозяйственного производства, а от сдачи их в аренду, то есть исключительно от такой коммерческой деятельности.</w:t>
      </w:r>
    </w:p>
    <w:p w:rsid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Определением Верховного Суда от 09.02.2024 № 305-ЭС24-559 товариществу отказано в передаче кассационной жалобы для рассмотрения в судебном заседании Судебной коллегии по экономическим спорам.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695">
        <w:rPr>
          <w:rFonts w:ascii="Times New Roman" w:hAnsi="Times New Roman" w:cs="Times New Roman"/>
          <w:b/>
          <w:sz w:val="28"/>
          <w:szCs w:val="28"/>
        </w:rPr>
        <w:t>3. Определение Верховного Суда от 26.02.2024 № 305-ЭС23-24042</w:t>
      </w:r>
    </w:p>
    <w:p w:rsid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Как следует из материалов дела, ООО (далее в настоящем пункте – общество, налогоплательщик) уплатило земельный налог за 2020 год в отношении переданных ему в доверительное управление земельных участков.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Впоследствии, полагая, что в отношении названных земельных участков подлежит применению пониженная ставка земельного налога в размере 0,3%, общество обратилось в налоговый орган с заявлением о возврате излишне уплаченного налога.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lastRenderedPageBreak/>
        <w:t>Налоговым органом принято решение об отказе в возврате налога, поскольку обществом не подтверждена правомерность применения ставки 0,3 % в отношении указанных земельных участков.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Выражая несогласие с выводом налогового органа об отсутствии у налогоплательщика права на применение пониженной ставки по земельному налогу в отношении спорных земельных участков, общество обратилось в арбитражный суд.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Решением Арбитражного суда города Москвы, оставленным без изменения постановлением суда апелляционной инстанции, заявителю было отказано в удовлетворении заявленных требований, так как суд счел, что заявителем избран ненадлежащий способ защиты его прав с учетом того, что по существу он оспаривает применение ставки 1,5 % по земельному налогу за 2020 год и поэтому вправе обратиться в суд с заявлением об оспаривании сообщения налогового органа об исчисленной сумме земельного налога за 2020 год.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Арбитражный суд Московского округа принятые по делу судебные акты отменил, дело направил на новое рассмотрение в суд первой инстанции.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Суд кассационной инстанции не согласился с выводом судов об избрании обществом ненадлежащего способа защиты своих прав и указал, что для рассмотрения заявления о возврате излишне уплаченного налога подлежит проверке состояние расчетов с бюджетом, поскольку такое требование подлежит проверке независимо от оспаривания ненормативных правовых актов налоговых органов и по основаниям, в том числе, необоснованности начисления сумм налога, пеней, штрафа.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При новом рассмотрении дела решением суда первой инстанции, оставленным без изменения судебными актами судов апелляционной и кассационной инстанций, заявленные обществом требования были удовлетворены. На налоговый орган была возложена обязанность возвратить обществу излишне уплаченный налог.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Удовлетворяя требования общества, суды трех инстанций исходили из того, что определяющим критерием для применения налоговой ставки по земельному налогу в размере 0,3 % является вид разрешенного использования земельного участка и назначение возводимых на нем объектов. Поскольку налоговым органом не представлено доказательств использования земельных участков в предпринимательской деятельности, оснований для применения ставки 1,5 % по земельному налогу не имеется.</w:t>
      </w:r>
    </w:p>
    <w:p w:rsid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В кассационной жалобе, направленной в Судебную коллегию по экономическим спорам Верховного Суда, налоговый орган выразил несогласие с состоявшимися по делу судебными актами и просил их отменить, ссылаясь на допущенные судом существенные нарушения норм материального права.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Изучив материалы дела, проверив в соответствии с положениями статьи 291.14 АПК РФ законность обжалуемого судебного акта, Судебная коллегия по экономическим спорам пришла к следующим выводам.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lastRenderedPageBreak/>
        <w:t>Как установлено судами и подтверждается материалами дела, закрытый паевой инвестиционный фонд (далее – ПИФ) находится под доверительным управлением общества, действующего на основании лицензии Центрального Банка Российской Федерации в соответствии с Правилами доверительного управления фонда.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В составе паевого инвестиционного фонда находятся земельные участки, принадлежащие на праве общей долевой собственности владельцам инвестиционных паев. Данные земельные участки отнесены к категории земель – «земли населенных пунктов», вид разрешенного использования – «индивидуальное жилищное строительство».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 xml:space="preserve">В ходе налоговой проверки было установлено, что земельные участки, находящиеся в собственности физических лиц, были переданы ими в доверительное управление обществу в процессе формирования </w:t>
      </w:r>
      <w:proofErr w:type="spellStart"/>
      <w:r w:rsidRPr="00BD3695">
        <w:rPr>
          <w:rFonts w:ascii="Times New Roman" w:hAnsi="Times New Roman" w:cs="Times New Roman"/>
          <w:sz w:val="28"/>
          <w:szCs w:val="28"/>
        </w:rPr>
        <w:t>ПИФа</w:t>
      </w:r>
      <w:proofErr w:type="spellEnd"/>
      <w:r w:rsidRPr="00BD3695">
        <w:rPr>
          <w:rFonts w:ascii="Times New Roman" w:hAnsi="Times New Roman" w:cs="Times New Roman"/>
          <w:sz w:val="28"/>
          <w:szCs w:val="28"/>
        </w:rPr>
        <w:t>, управление которым осуществляется обществом в интересах его учредителей - физических лиц.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Определяя в спорной ситуации порядок уплаты обществом земельного налога, суды отметили, что управляющие компании закрытых паевых инвестиционных фондов не являются правообладателями земельных участков, составляющих паевой инвестиционный фонд, а потому исчисление земельного налога в отношении земельных участков, входящих в имущество фонда, с видом разрешенного использования «для жилищного строительства» должно производиться управляющими компаниями по ставке 0,3 % без учета повышающих коэффициентов, предусмотренных пунктом 15 статьи 396 Кодекса.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Установив, что в рассматриваемый налоговый период земельные участки, находящиеся в доверительном управлении общества, не использовались в целях извлечения прибыли, суды признали наличие у общества права на применение пониженной налоговой ставки и возврат излишне уплаченных сумм земельного налога.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Вместе с тем, как указано Судебной коллегией по экономическим спорам, судами не было учтено следующее.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В силу положений пункта 1 статьи 65 Земельного кодекса Российской Федерации использование земли в Российской Федерации является платным. Земельный налог является формой платы за использование земли.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Согласно пункту 1 статьи 388 Кодекса налогоплательщиками земельного налога признаются организации и физические лица, обладающие земельными участками на праве собственности, праве постоянного (бессрочного) пользования или на праве пожизненного наследуемого владения.</w:t>
      </w:r>
    </w:p>
    <w:p w:rsid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При этом налог уплачивается за счет имущества, составляющего этот паевой инвестиционный фонд (абзац 2 пункта 1 статьи 388 Кодекса).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 xml:space="preserve">Устанавливая пониженную налоговую ставку в отношении земельных участков, приобретенных (предоставленных) для жилищного строительства, </w:t>
      </w:r>
      <w:r w:rsidRPr="00BD3695">
        <w:rPr>
          <w:rFonts w:ascii="Times New Roman" w:hAnsi="Times New Roman" w:cs="Times New Roman"/>
          <w:sz w:val="28"/>
          <w:szCs w:val="28"/>
        </w:rPr>
        <w:lastRenderedPageBreak/>
        <w:t>законодатель исходил из необходимости поощрения возведения жилья путем создания более выгодных финансовых условий ведения строительства.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Так, согласно абзацу третьему пункта 1 статьи 394 Кодекса налоговые ставки устанавливаются нормативными правовыми актами представительных органов муниципальных образований и не могут превышать 0,3 % в отношении земельных участков, в частности, занятых жилищным фондом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 (норма в редакции, действующей с 01.01.2020).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Таким образом, воля законодателя при установлении пониженной налоговой ставки направлена на предоставление государственной поддержки непосредственно гражданам, которым приобретенные (предоставленные) для индивидуального жилищного строительства земельные участки принадлежат на соответствующем праве, и осуществляющим жилищное строительство для удовлетворения собственных нужд, связанных с проживанием.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Следовательно, налогоплательщики - организации, использующие соответствующие земельные участки как активы, рассчитывая на получение прибыли от их реализации, либо на использование земельных участков в качестве объектов залога (ипотеки) и т.п., не вправе применять пониженную ставку налога.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Согласно положениям статьи 10 Федерального закона от 29.11.2001 № 156-ФЗ «Об инвестиционных фондах» (далее - Закон № 156-ФЗ) паевым инвестиционным фондом признается обособленный имущественный комплекс, состоящий из имущества, переданного в доверительное управление управляющей компании учредителем (учредителями) доверительного управления с условием объединения этого имущества с имуществом иных учредителей доверительного управления, и из имущества, полученного в процессе такого управления, доля в праве собственности на которое удостоверяется ценной бумагой, выдаваемой управляющей компанией.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Управляющая компания осуществляет доверительное управление паевым инвестиционным фондом путем совершения любых юридических и фактических действий в отношении составляющего его имущества, а также осуществляет все права, удостоверенные ценными бумагами, составляющими ПИФ, включая право голоса по голосующим ценным бумагам (пункт 3 статьи 11 Закона № 156-ФЗ).</w:t>
      </w:r>
    </w:p>
    <w:p w:rsid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Учредитель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 xml:space="preserve">Имущество, составляющее паевой инвестиционный фонд, является общим имуществом владельцев инвестиционных паев и принадлежит им на праве общей долевой собственности. Раздел имущества, составляющего паевой инвестиционный фонд, и выдел из него доли в натуре не допускаются, </w:t>
      </w:r>
      <w:r w:rsidRPr="00BD3695">
        <w:rPr>
          <w:rFonts w:ascii="Times New Roman" w:hAnsi="Times New Roman" w:cs="Times New Roman"/>
          <w:sz w:val="28"/>
          <w:szCs w:val="28"/>
        </w:rPr>
        <w:lastRenderedPageBreak/>
        <w:t>за исключением случаев, предусмотренных Законом № 156-ФЗ. Владельцы инвестиционных паев несут риск убытков, связанных с изменением рыночной стоимости имущества, составляющего паевой инвестиционный фонд (пункт 2 статьи 11 Закона № 156-ФЗ).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Из положений названного Федерального закона следует, что экономический смысл создания паевого инвестиционного фонда заключается в возможности привлечения большого количества инвесторов для реализации крупных проектов, а также для эффективного управления имуществом (имущественным комплексом) в целях получения максимальной прибыли.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Таким образом, как отмечено Судебной коллегией по экономическим спорам, факт использования земельного участка в соответствии с видом разрешенного использования имеет существенное значение для установления наличия у плательщика налога права на применение соответствующей налоговой ставки. В этой связи довод общества о правомерности заявленного требования ввиду того, что спорные земельные участки не осваиваются и на них не ведется какая-либо предпринимательская деятельность, не могут подтверждать использование земель в целях, подпадающих под налогообложение с применением пониженной налоговой ставки.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Кроме того, Судебной коллегии по экономическим спорам указано, что при рассмотрении данного спора суды не учли, что инвестиционная деятельность - это вложение инвестиций и осуществление практических действий в целях получения прибыли и (или) достижения иного полезного эффекта (статья 1 Федерального закона от 25.02.1999 № 39-ФЗ «Об инвестиционной деятельности в Российской Федерации, осуществляемой в форме капитальных вложений»).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 xml:space="preserve">Условия доверительного управления фондом определены Правилами доверительного управления </w:t>
      </w:r>
      <w:proofErr w:type="spellStart"/>
      <w:r w:rsidRPr="00BD3695">
        <w:rPr>
          <w:rFonts w:ascii="Times New Roman" w:hAnsi="Times New Roman" w:cs="Times New Roman"/>
          <w:sz w:val="28"/>
          <w:szCs w:val="28"/>
        </w:rPr>
        <w:t>ПИФа</w:t>
      </w:r>
      <w:proofErr w:type="spellEnd"/>
      <w:r w:rsidRPr="00BD3695">
        <w:rPr>
          <w:rFonts w:ascii="Times New Roman" w:hAnsi="Times New Roman" w:cs="Times New Roman"/>
          <w:sz w:val="28"/>
          <w:szCs w:val="28"/>
        </w:rPr>
        <w:t>, зарегистрированными в Центральном Банке Российской Федерации.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Согласно пункту 23 указанных Правил целью инвестиционной политики управляющей компании является получение дохода при инвестировании имущества, составляющего фонд, в объекты, предусмотренные настоящими Правилами, в соответствии с инвестиционной политикой управляющей компании.</w:t>
      </w:r>
    </w:p>
    <w:p w:rsid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Таким образом, земельные участки, внесенные в состав имущества фонда, представляют собой актив, который по факту его включения в состав паевого инвестиционного фонда предполагает использование в целях извлечения прибыли, что исключает налогообложение данных земельных участков по ставке 0,3 % при исчислении налога.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3695">
        <w:rPr>
          <w:rFonts w:ascii="Times New Roman" w:hAnsi="Times New Roman" w:cs="Times New Roman"/>
          <w:sz w:val="28"/>
          <w:szCs w:val="28"/>
        </w:rPr>
        <w:t>Учитывая изложенное, Судебная коллегия по экономическим спорам посчитала, что состоявшиеся по делу судебные акты судов первой, апелляционной и кассационной инстанций подлежат отмене на основании части 1 статьи 291.11 АПК РФ, как принятые при существенном нарушении норм материального права.</w:t>
      </w:r>
    </w:p>
    <w:p w:rsidR="00BD3695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 xml:space="preserve">Поскольку у налогового органа отсутствовали основания для квалификации уплаченных заявителем сумм земельного налога в качестве </w:t>
      </w:r>
      <w:r w:rsidRPr="00BD3695">
        <w:rPr>
          <w:rFonts w:ascii="Times New Roman" w:hAnsi="Times New Roman" w:cs="Times New Roman"/>
          <w:sz w:val="28"/>
          <w:szCs w:val="28"/>
        </w:rPr>
        <w:lastRenderedPageBreak/>
        <w:t>излишне внесенных в бюджет, требование общества о возврате налога удовлетворению не подлежит.</w:t>
      </w:r>
    </w:p>
    <w:p w:rsidR="00B4553E" w:rsidRPr="00BD3695" w:rsidRDefault="00BD3695" w:rsidP="00BD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95">
        <w:rPr>
          <w:rFonts w:ascii="Times New Roman" w:hAnsi="Times New Roman" w:cs="Times New Roman"/>
          <w:sz w:val="28"/>
          <w:szCs w:val="28"/>
        </w:rPr>
        <w:t>На основании вышеизложенного Судебная коллегия по экономическим спорам Верховного Суда, руководствуясь статьями 167, 176, 291.11 - 291.15 АПК РФ, отменила состоявшиеся по делу судебные акты и отказала в удовлетворении требований общества.</w:t>
      </w:r>
    </w:p>
    <w:sectPr w:rsidR="00B4553E" w:rsidRPr="00BD3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95"/>
    <w:rsid w:val="00004388"/>
    <w:rsid w:val="00B4553E"/>
    <w:rsid w:val="00BD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FF8E1-6246-49D8-9315-A9A7A1E9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3337</Words>
  <Characters>19023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Дорофейкин Александр Сергеевич</dc:creator>
  <cp:keywords/>
  <dc:description/>
  <cp:lastModifiedBy>Дорофейкин Александр Сергеевич</cp:lastModifiedBy>
  <cp:revision>1</cp:revision>
  <dcterms:created xsi:type="dcterms:W3CDTF">2024-05-03T06:56:00Z</dcterms:created>
  <dcterms:modified xsi:type="dcterms:W3CDTF">2024-05-03T07:00:00Z</dcterms:modified>
</cp:coreProperties>
</file>