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36" w:rsidRPr="00394134" w:rsidRDefault="00EE0D36" w:rsidP="00EE0D36">
      <w:pPr>
        <w:spacing w:after="120"/>
        <w:ind w:firstLine="850"/>
        <w:jc w:val="right"/>
        <w:rPr>
          <w:sz w:val="28"/>
          <w:szCs w:val="28"/>
        </w:rPr>
      </w:pPr>
    </w:p>
    <w:p w:rsidR="00490911" w:rsidRPr="00394134" w:rsidRDefault="00394134" w:rsidP="00394134">
      <w:pPr>
        <w:spacing w:after="120"/>
        <w:ind w:firstLine="850"/>
        <w:jc w:val="center"/>
        <w:rPr>
          <w:b/>
          <w:sz w:val="28"/>
          <w:szCs w:val="28"/>
        </w:rPr>
      </w:pPr>
      <w:r w:rsidRPr="00394134">
        <w:rPr>
          <w:b/>
          <w:sz w:val="28"/>
          <w:szCs w:val="28"/>
        </w:rPr>
        <w:t xml:space="preserve">ПЕРЕЧЕНЬ ФУНКЦИЙ ФНС РОССИИ, </w:t>
      </w:r>
      <w:r>
        <w:rPr>
          <w:b/>
          <w:sz w:val="28"/>
          <w:szCs w:val="28"/>
        </w:rPr>
        <w:br/>
      </w:r>
      <w:r w:rsidRPr="00394134">
        <w:rPr>
          <w:b/>
          <w:sz w:val="28"/>
          <w:szCs w:val="28"/>
        </w:rPr>
        <w:t xml:space="preserve">ПРИ РЕАЛИЗАЦИИ </w:t>
      </w:r>
      <w:r>
        <w:rPr>
          <w:b/>
          <w:sz w:val="28"/>
          <w:szCs w:val="28"/>
        </w:rPr>
        <w:t>К</w:t>
      </w:r>
      <w:r w:rsidRPr="00394134">
        <w:rPr>
          <w:b/>
          <w:sz w:val="28"/>
          <w:szCs w:val="28"/>
        </w:rPr>
        <w:t>ОТОРЫХ ВЕРОЯТНО ВОЗНИКНОВЕНИЕ КОРРУПЦИОННЫХ РИСКОВ</w:t>
      </w:r>
    </w:p>
    <w:p w:rsidR="00563B2B" w:rsidRPr="00394134" w:rsidRDefault="00563B2B" w:rsidP="00563B2B">
      <w:pPr>
        <w:jc w:val="center"/>
        <w:rPr>
          <w:sz w:val="28"/>
          <w:szCs w:val="28"/>
        </w:rPr>
      </w:pPr>
      <w:proofErr w:type="gramStart"/>
      <w:r w:rsidRPr="00394134">
        <w:rPr>
          <w:sz w:val="28"/>
          <w:szCs w:val="28"/>
        </w:rPr>
        <w:t>одобрен</w:t>
      </w:r>
      <w:proofErr w:type="gramEnd"/>
      <w:r w:rsidRPr="00394134">
        <w:rPr>
          <w:sz w:val="28"/>
          <w:szCs w:val="28"/>
        </w:rPr>
        <w:t xml:space="preserve"> Комиссией по соблюдению требований к служебному поведению федеральных государственных гражданских служащих и урегулированию конфликта интересов (Протокол №</w:t>
      </w:r>
      <w:r w:rsidR="007A0EB9">
        <w:rPr>
          <w:sz w:val="28"/>
          <w:szCs w:val="28"/>
        </w:rPr>
        <w:t xml:space="preserve"> 7</w:t>
      </w:r>
      <w:r w:rsidRPr="00394134">
        <w:rPr>
          <w:sz w:val="28"/>
          <w:szCs w:val="28"/>
        </w:rPr>
        <w:t xml:space="preserve"> от </w:t>
      </w:r>
      <w:r w:rsidR="00A628E3">
        <w:rPr>
          <w:sz w:val="28"/>
          <w:szCs w:val="28"/>
        </w:rPr>
        <w:t>25</w:t>
      </w:r>
      <w:r w:rsidRPr="00394134">
        <w:rPr>
          <w:sz w:val="28"/>
          <w:szCs w:val="28"/>
        </w:rPr>
        <w:t xml:space="preserve"> </w:t>
      </w:r>
      <w:r w:rsidR="00220376">
        <w:rPr>
          <w:sz w:val="28"/>
          <w:szCs w:val="28"/>
        </w:rPr>
        <w:t>но</w:t>
      </w:r>
      <w:r w:rsidRPr="00394134">
        <w:rPr>
          <w:sz w:val="28"/>
          <w:szCs w:val="28"/>
        </w:rPr>
        <w:t>ября 202</w:t>
      </w:r>
      <w:r w:rsidR="00A628E3">
        <w:rPr>
          <w:sz w:val="28"/>
          <w:szCs w:val="28"/>
        </w:rPr>
        <w:t>5</w:t>
      </w:r>
      <w:r w:rsidRPr="00394134">
        <w:rPr>
          <w:sz w:val="28"/>
          <w:szCs w:val="28"/>
        </w:rPr>
        <w:t xml:space="preserve"> г.) </w:t>
      </w:r>
    </w:p>
    <w:p w:rsidR="00563B2B" w:rsidRPr="00394134" w:rsidRDefault="00563B2B" w:rsidP="00B73E59">
      <w:pPr>
        <w:rPr>
          <w:sz w:val="28"/>
          <w:szCs w:val="28"/>
        </w:rPr>
      </w:pP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bookmarkStart w:id="0" w:name="_GoBack"/>
      <w:r w:rsidRPr="00E65980">
        <w:rPr>
          <w:snapToGrid w:val="0"/>
          <w:color w:val="000000"/>
          <w:sz w:val="28"/>
          <w:szCs w:val="28"/>
        </w:rPr>
        <w:t xml:space="preserve">1. Контроль и надзор за соблюдением законодательства о налогах </w:t>
      </w:r>
      <w:r w:rsidRPr="00E65980">
        <w:rPr>
          <w:snapToGrid w:val="0"/>
          <w:color w:val="000000"/>
          <w:sz w:val="28"/>
          <w:szCs w:val="28"/>
        </w:rPr>
        <w:br/>
        <w:t>и сборах, за правильностью исчисления, полнотой и своевременностью внесения в соответствующий бюджет налогов, сборов и страховых взносов.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2. Валютный контроль и надзор в пределах компетенции налоговых органов.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 xml:space="preserve">3. Контроль и надзор за соблюдением требований к контрольно-кассовой технике, порядком и условием ее регистрации и применения. </w:t>
      </w:r>
      <w:bookmarkStart w:id="1" w:name="P105"/>
      <w:bookmarkEnd w:id="1"/>
      <w:r w:rsidRPr="00E65980">
        <w:rPr>
          <w:snapToGrid w:val="0"/>
          <w:color w:val="000000"/>
          <w:sz w:val="28"/>
          <w:szCs w:val="28"/>
        </w:rPr>
        <w:t xml:space="preserve">Контроль за </w:t>
      </w:r>
      <w:hyperlink r:id="rId6" w:history="1">
        <w:r w:rsidRPr="00E65980">
          <w:rPr>
            <w:snapToGrid w:val="0"/>
            <w:color w:val="000000"/>
            <w:sz w:val="28"/>
            <w:szCs w:val="28"/>
          </w:rPr>
          <w:t>полнотой учета</w:t>
        </w:r>
      </w:hyperlink>
      <w:r w:rsidRPr="00E65980">
        <w:rPr>
          <w:snapToGrid w:val="0"/>
          <w:color w:val="000000"/>
          <w:sz w:val="28"/>
          <w:szCs w:val="28"/>
        </w:rPr>
        <w:t xml:space="preserve"> выручки денежных средств в организациях и у индивидуальных предпринимателей.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 xml:space="preserve">4. Контроль за исполнением организаторами азартных игр </w:t>
      </w:r>
      <w:r w:rsidRPr="00E65980">
        <w:rPr>
          <w:snapToGrid w:val="0"/>
          <w:color w:val="000000"/>
          <w:sz w:val="28"/>
          <w:szCs w:val="28"/>
        </w:rPr>
        <w:br/>
        <w:t xml:space="preserve">и операторами лотерей Федерального </w:t>
      </w:r>
      <w:hyperlink r:id="rId7" w:history="1">
        <w:r w:rsidRPr="00E65980">
          <w:rPr>
            <w:snapToGrid w:val="0"/>
            <w:color w:val="000000"/>
            <w:sz w:val="28"/>
            <w:szCs w:val="28"/>
          </w:rPr>
          <w:t>закона</w:t>
        </w:r>
      </w:hyperlink>
      <w:r w:rsidRPr="00E65980">
        <w:rPr>
          <w:snapToGrid w:val="0"/>
          <w:color w:val="000000"/>
          <w:sz w:val="28"/>
          <w:szCs w:val="28"/>
        </w:rPr>
        <w:t xml:space="preserve"> «О противодействии легализации (отмыванию) доходов, полученных преступным путем, и финансированию терроризма» в части фиксирования, хранения и представления информации об операциях, подлежащих обязательному контролю, а также за организацией и осуществлением внутреннего контроля;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5. Выдача в установленном порядке свидетельства о регистрации лица, совершающего операции с прямогонным бензином;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 xml:space="preserve">6. Выдача в установленном порядке свидетельства о регистрации лица, совершающего операции с бензолом, параксилолом или </w:t>
      </w:r>
      <w:proofErr w:type="spellStart"/>
      <w:r w:rsidRPr="00E65980">
        <w:rPr>
          <w:snapToGrid w:val="0"/>
          <w:color w:val="000000"/>
          <w:sz w:val="28"/>
          <w:szCs w:val="28"/>
        </w:rPr>
        <w:t>ортоксилолом</w:t>
      </w:r>
      <w:proofErr w:type="spellEnd"/>
      <w:r w:rsidRPr="00E65980">
        <w:rPr>
          <w:snapToGrid w:val="0"/>
          <w:color w:val="000000"/>
          <w:sz w:val="28"/>
          <w:szCs w:val="28"/>
        </w:rPr>
        <w:t>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7. Выдача в установленном порядке свидетельства о регистрации организации, совершающей операции со средними дистиллятами;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8. Выдача в установленном порядке свидетельства о регистрации лица, совершающего операции по переработке средних дистиллятов;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9. Выдача в установленном порядке свидетельства о регистрации организации, совершающей операции по переработке нефтяного сырья;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10. Выдача в установленном порядке свидетельства о регистрации организации, совершающей операции с этиловым спиртом;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11.  Выдача в установленном порядке свидетельства о регистрации лица, совершающего операции по переработке этана;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12. Выдача в установленном порядке свидетельства о регистрации лица, совершающего операции по переработке сжиженных углеводородных газов;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 xml:space="preserve">13. Осуществление </w:t>
      </w:r>
      <w:hyperlink r:id="rId8" w:history="1">
        <w:r w:rsidRPr="00E65980">
          <w:rPr>
            <w:snapToGrid w:val="0"/>
            <w:color w:val="000000"/>
            <w:sz w:val="28"/>
            <w:szCs w:val="28"/>
          </w:rPr>
          <w:t>государственной регистрации</w:t>
        </w:r>
      </w:hyperlink>
      <w:r w:rsidRPr="00E65980">
        <w:rPr>
          <w:snapToGrid w:val="0"/>
          <w:color w:val="000000"/>
          <w:sz w:val="28"/>
          <w:szCs w:val="28"/>
        </w:rPr>
        <w:t xml:space="preserve"> юридических лиц, физических лиц в качестве индивидуальных предпринимателей </w:t>
      </w:r>
      <w:r w:rsidRPr="00E65980">
        <w:rPr>
          <w:snapToGrid w:val="0"/>
          <w:color w:val="000000"/>
          <w:sz w:val="28"/>
          <w:szCs w:val="28"/>
        </w:rPr>
        <w:br/>
        <w:t>и крестьянских (фермерских) хозяйств;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 xml:space="preserve">14. </w:t>
      </w:r>
      <w:hyperlink r:id="rId9" w:history="1">
        <w:r w:rsidRPr="00E65980">
          <w:rPr>
            <w:snapToGrid w:val="0"/>
            <w:color w:val="000000"/>
            <w:sz w:val="28"/>
            <w:szCs w:val="28"/>
          </w:rPr>
          <w:t>Выдача</w:t>
        </w:r>
      </w:hyperlink>
      <w:r w:rsidRPr="00E65980">
        <w:rPr>
          <w:snapToGrid w:val="0"/>
          <w:color w:val="000000"/>
          <w:sz w:val="28"/>
          <w:szCs w:val="28"/>
        </w:rPr>
        <w:t xml:space="preserve"> специальных марок для маркировки табака и табачных изделий, производимых на территории Российской Федерации;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15.  Федеральный государственный лицензионный контроль (надзор)</w:t>
      </w:r>
      <w:r w:rsidRPr="00E65980">
        <w:rPr>
          <w:snapToGrid w:val="0"/>
          <w:color w:val="000000"/>
          <w:sz w:val="28"/>
          <w:szCs w:val="28"/>
        </w:rPr>
        <w:br/>
      </w:r>
      <w:r w:rsidRPr="00E65980">
        <w:rPr>
          <w:snapToGrid w:val="0"/>
          <w:color w:val="000000"/>
          <w:sz w:val="28"/>
          <w:szCs w:val="28"/>
        </w:rPr>
        <w:lastRenderedPageBreak/>
        <w:t>за производством и реализацией защищенной от подделок полиграфической продукции;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 xml:space="preserve">16.  Федеральный государственный контроль (надзор) за организацией и проведением азартных игр; 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17. Федеральный государственный контроль (надзор) за проведением лотерей;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18. Аккредитация филиалов, представительств иностранных юридических лиц (за исключением филиалов иностранных страховых организаций и представительств иностранных кредитных организаций);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19. Осуществление функции удостоверяющего центра для обеспечения участников электронного взаимодействия сертификатами ключей проверки электронных подписей в установленных законодательством Российской Федерации случаях;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20. Ведение в установленном порядке реестра дисквалифицированных лиц;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 xml:space="preserve">21. Уведомление в установленном порядке единого регулятора азартных игр о выявлении фактов нарушения организатором азартных игр </w:t>
      </w:r>
      <w:r w:rsidRPr="00E65980">
        <w:rPr>
          <w:snapToGrid w:val="0"/>
          <w:color w:val="000000"/>
          <w:sz w:val="28"/>
          <w:szCs w:val="28"/>
        </w:rPr>
        <w:br/>
        <w:t xml:space="preserve">в букмекерской конторе требований, установленных </w:t>
      </w:r>
      <w:hyperlink r:id="rId10" w:history="1">
        <w:r w:rsidRPr="00E65980">
          <w:rPr>
            <w:snapToGrid w:val="0"/>
            <w:color w:val="000000"/>
            <w:sz w:val="28"/>
            <w:szCs w:val="28"/>
          </w:rPr>
          <w:t>статьей</w:t>
        </w:r>
      </w:hyperlink>
      <w:r w:rsidRPr="00E65980">
        <w:rPr>
          <w:snapToGrid w:val="0"/>
          <w:color w:val="000000"/>
          <w:sz w:val="28"/>
          <w:szCs w:val="28"/>
        </w:rPr>
        <w:t xml:space="preserve"> 6.2. Федерального закона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22. Принятие решения о возврате денежных средств, формирующих положительное сальдо единого налогового счета;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23. Принятие решения о предоставлении отсрочки, рассрочки, инвестиционного кредита;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24. Применение мер принудительного взыскания;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25. Принятие решений об уточнении вида и принадлежности платежа;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26. Принятие решения об аннулировании разрешения на обработку фискальных данных;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 xml:space="preserve">27. Подготовка и принятие решений о распределении бюджетных ассигнований, субсидий на финансовое обеспечение исполнения государственного задания и субсидий на иные цели (в части подготовки </w:t>
      </w:r>
      <w:r w:rsidRPr="00E65980">
        <w:rPr>
          <w:snapToGrid w:val="0"/>
          <w:color w:val="000000"/>
          <w:sz w:val="28"/>
          <w:szCs w:val="28"/>
        </w:rPr>
        <w:br/>
        <w:t>и принятие решений о распределении бюджетных ассигнований и субсидий на цели, не связанные с выполнением государственного задания);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28. Обеспечение в пределах компетенции ФНС России защиты государственной, налоговой и иной охраняемой законом тайны, персональных данных;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29. Организация и осуществление закупок товаров, работ, услуг для обеспечения государственных нужд;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30. Представление в соответствии с законодательством Российской Федерации о несостоятельности (банкротстве) интересов Российской Федерации по обязательным платежам и (или) денежным обязательствам;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31. Контроль правильности применения цен для целей налогообложения в сделках между взаимозависимыми лицами;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 xml:space="preserve">32.Рассмотрение заявлений о заключении соглашений </w:t>
      </w:r>
      <w:r w:rsidRPr="00E65980">
        <w:rPr>
          <w:snapToGrid w:val="0"/>
          <w:color w:val="000000"/>
          <w:sz w:val="28"/>
          <w:szCs w:val="28"/>
        </w:rPr>
        <w:br/>
        <w:t>о ценообразовании для целей налогообложения;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lastRenderedPageBreak/>
        <w:t>33. Обмен информацией с компетентными органами иностранных государств;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34. Досудебное урегулирование споров;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35.Участие в работе советов директоров, наблюдательных советов, ревизионных комиссий акционерных обществ, акции которых принадлежат Российской Федерации;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 xml:space="preserve">36. Управление и распоряжение объектами недвижимости центрального аппарата ФНС России и территориальных налоговых органов </w:t>
      </w:r>
      <w:r w:rsidRPr="00E65980">
        <w:rPr>
          <w:snapToGrid w:val="0"/>
          <w:color w:val="000000"/>
          <w:sz w:val="28"/>
          <w:szCs w:val="28"/>
        </w:rPr>
        <w:br/>
        <w:t>в порядке, установленном законодательством Российской Федерации;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37. Организация и проведение аудиторских мероприятий в ФНС России и подведомственных ФНС России учреждений (организаций);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38. Организация и осуществление внутреннего финансового аудита;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 xml:space="preserve">39. Организация и осуществление ведомственного контроля в сфере закупок товаров, работ, услуг для обеспечения федеральных нужд </w:t>
      </w:r>
      <w:r w:rsidRPr="00E65980">
        <w:rPr>
          <w:snapToGrid w:val="0"/>
          <w:color w:val="000000"/>
          <w:sz w:val="28"/>
          <w:szCs w:val="28"/>
        </w:rPr>
        <w:br/>
        <w:t>в отношении подведомственных ФНС России заказчиков.</w:t>
      </w:r>
    </w:p>
    <w:p w:rsidR="00A628E3" w:rsidRPr="00E65980" w:rsidRDefault="00A628E3" w:rsidP="00A628E3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E65980">
        <w:rPr>
          <w:snapToGrid w:val="0"/>
          <w:color w:val="000000"/>
          <w:sz w:val="28"/>
          <w:szCs w:val="28"/>
        </w:rPr>
        <w:t>40. Принятие решения о заключении мирового соглашения.</w:t>
      </w:r>
    </w:p>
    <w:bookmarkEnd w:id="0"/>
    <w:p w:rsidR="00EC17DC" w:rsidRPr="00394134" w:rsidRDefault="00792180" w:rsidP="00A628E3">
      <w:pPr>
        <w:ind w:firstLine="709"/>
        <w:jc w:val="both"/>
        <w:rPr>
          <w:sz w:val="28"/>
          <w:szCs w:val="28"/>
        </w:rPr>
      </w:pPr>
    </w:p>
    <w:sectPr w:rsidR="00EC17DC" w:rsidRPr="00394134" w:rsidSect="00394134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180" w:rsidRDefault="00792180" w:rsidP="00490911">
      <w:r>
        <w:separator/>
      </w:r>
    </w:p>
  </w:endnote>
  <w:endnote w:type="continuationSeparator" w:id="0">
    <w:p w:rsidR="00792180" w:rsidRDefault="00792180" w:rsidP="0049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180" w:rsidRDefault="00792180" w:rsidP="00490911">
      <w:r>
        <w:separator/>
      </w:r>
    </w:p>
  </w:footnote>
  <w:footnote w:type="continuationSeparator" w:id="0">
    <w:p w:rsidR="00792180" w:rsidRDefault="00792180" w:rsidP="00490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046131"/>
      <w:docPartObj>
        <w:docPartGallery w:val="Page Numbers (Top of Page)"/>
        <w:docPartUnique/>
      </w:docPartObj>
    </w:sdtPr>
    <w:sdtEndPr/>
    <w:sdtContent>
      <w:p w:rsidR="00490911" w:rsidRDefault="004909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8E3">
          <w:rPr>
            <w:noProof/>
          </w:rPr>
          <w:t>3</w:t>
        </w:r>
        <w:r>
          <w:fldChar w:fldCharType="end"/>
        </w:r>
      </w:p>
    </w:sdtContent>
  </w:sdt>
  <w:p w:rsidR="00490911" w:rsidRDefault="004909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11"/>
    <w:rsid w:val="00006E65"/>
    <w:rsid w:val="00044E17"/>
    <w:rsid w:val="000D01F0"/>
    <w:rsid w:val="000D3365"/>
    <w:rsid w:val="001162B7"/>
    <w:rsid w:val="00174AA9"/>
    <w:rsid w:val="00187AD1"/>
    <w:rsid w:val="001C5E98"/>
    <w:rsid w:val="00220376"/>
    <w:rsid w:val="00221022"/>
    <w:rsid w:val="00233909"/>
    <w:rsid w:val="0024376A"/>
    <w:rsid w:val="0025653A"/>
    <w:rsid w:val="00290826"/>
    <w:rsid w:val="0033137A"/>
    <w:rsid w:val="003800E7"/>
    <w:rsid w:val="00394134"/>
    <w:rsid w:val="003B1D15"/>
    <w:rsid w:val="003C5539"/>
    <w:rsid w:val="00423E7C"/>
    <w:rsid w:val="00490911"/>
    <w:rsid w:val="00510969"/>
    <w:rsid w:val="00514EE6"/>
    <w:rsid w:val="005445C6"/>
    <w:rsid w:val="005531CF"/>
    <w:rsid w:val="0055739B"/>
    <w:rsid w:val="00563B2B"/>
    <w:rsid w:val="005673DA"/>
    <w:rsid w:val="0057276B"/>
    <w:rsid w:val="005A42AD"/>
    <w:rsid w:val="00652D03"/>
    <w:rsid w:val="006A6471"/>
    <w:rsid w:val="006C2590"/>
    <w:rsid w:val="006E6B84"/>
    <w:rsid w:val="00722931"/>
    <w:rsid w:val="0074158A"/>
    <w:rsid w:val="00746DCE"/>
    <w:rsid w:val="00757672"/>
    <w:rsid w:val="00792180"/>
    <w:rsid w:val="007A0EB9"/>
    <w:rsid w:val="007A73FE"/>
    <w:rsid w:val="007D0D2C"/>
    <w:rsid w:val="007D5715"/>
    <w:rsid w:val="007D5AB4"/>
    <w:rsid w:val="007D5F7A"/>
    <w:rsid w:val="007F6B9C"/>
    <w:rsid w:val="00867120"/>
    <w:rsid w:val="00945DF0"/>
    <w:rsid w:val="009562D3"/>
    <w:rsid w:val="009968C2"/>
    <w:rsid w:val="00A628E3"/>
    <w:rsid w:val="00AB0845"/>
    <w:rsid w:val="00AC7E91"/>
    <w:rsid w:val="00AE63CD"/>
    <w:rsid w:val="00AE7065"/>
    <w:rsid w:val="00AF4EB7"/>
    <w:rsid w:val="00B1470F"/>
    <w:rsid w:val="00B51938"/>
    <w:rsid w:val="00B73E59"/>
    <w:rsid w:val="00BB37E7"/>
    <w:rsid w:val="00BC5186"/>
    <w:rsid w:val="00C22497"/>
    <w:rsid w:val="00C50A41"/>
    <w:rsid w:val="00CA26B2"/>
    <w:rsid w:val="00CA30DB"/>
    <w:rsid w:val="00CC4EC7"/>
    <w:rsid w:val="00D35281"/>
    <w:rsid w:val="00D76016"/>
    <w:rsid w:val="00DA202E"/>
    <w:rsid w:val="00DF7562"/>
    <w:rsid w:val="00EE0D36"/>
    <w:rsid w:val="00EE125D"/>
    <w:rsid w:val="00F011FF"/>
    <w:rsid w:val="00F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3280B-16A3-4275-A070-BBE67959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91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90911"/>
  </w:style>
  <w:style w:type="paragraph" w:styleId="a5">
    <w:name w:val="footer"/>
    <w:basedOn w:val="a"/>
    <w:link w:val="a6"/>
    <w:uiPriority w:val="99"/>
    <w:unhideWhenUsed/>
    <w:rsid w:val="0049091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90911"/>
  </w:style>
  <w:style w:type="character" w:styleId="a7">
    <w:name w:val="Hyperlink"/>
    <w:uiPriority w:val="99"/>
    <w:unhideWhenUsed/>
    <w:rsid w:val="0049091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352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52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FA73B908780C0E59B05747A45751C7CA51FC578DCCC600A61690835EF9F206A3179F04146B13CBC9C800C51658619DAA50BF4648B485AFZ6Y9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FA73B908780C0E59B05747A45751C7CD58FA5983C1C600A61690835EF9F206B117C708166D0DCBCBDD569450Z0YC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FA73B908780C0E59B05747A45751C7C85AFE5782CEC600A61690835EF9F206A3179F04146B13CBCBC800C51658619DAA50BF4648B485AFZ6Y9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1FA73B908780C0E59B05747A45751C7CA5FF25E8DCDC600A61690835EF9F206A3179F04146B12C3C3C800C51658619DAA50BF4648B485AFZ6Y9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1FA73B908780C0E59B05747A45751C7CA5EFA5C82C8C600A61690835EF9F206A3179F04146B13CEC8C800C51658619DAA50BF4648B485AFZ6Y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Крюкова Ольга Валерьевна</dc:creator>
  <cp:keywords/>
  <dc:description/>
  <cp:lastModifiedBy>Крюкова Ольга Валерьевна</cp:lastModifiedBy>
  <cp:revision>4</cp:revision>
  <cp:lastPrinted>2024-11-12T13:08:00Z</cp:lastPrinted>
  <dcterms:created xsi:type="dcterms:W3CDTF">2024-11-19T08:27:00Z</dcterms:created>
  <dcterms:modified xsi:type="dcterms:W3CDTF">2025-11-20T14:27:00Z</dcterms:modified>
</cp:coreProperties>
</file>