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emf" ContentType="image/x-emf"/>
  <Default Extension="rtf" ContentType="application/rtf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229"/>
        <w:gridCol w:w="903"/>
        <w:gridCol w:w="2823"/>
        <w:gridCol w:w="902"/>
        <w:gridCol w:w="444"/>
        <w:gridCol w:w="2594"/>
        <w:gridCol w:w="229"/>
        <w:gridCol w:w="1920"/>
        <w:gridCol w:w="115"/>
        <w:gridCol w:w="444"/>
        <w:gridCol w:w="114"/>
      </w:tblGrid>
      <w:tr>
        <w:trPr>
          <w:trHeight w:hRule="exact" w:val="115"/>
        </w:trPr>
        <w:tc>
          <w:tcPr>
            <w:tcW w:w="10717" w:type="dxa"/>
            <w:gridSpan w:val="11"/>
          </w:tcPr>
          <w:p/>
        </w:tc>
      </w:tr>
      <w:tr>
        <w:trPr>
          <w:trHeight w:hRule="exact" w:val="444"/>
        </w:trPr>
        <w:tc>
          <w:tcPr>
            <w:tcW w:w="1132" w:type="dxa"/>
            <w:gridSpan w:val="2"/>
          </w:tcPr>
          <w:p/>
        </w:tc>
        <w:tc>
          <w:tcPr>
            <w:tcW w:w="9027" w:type="dxa"/>
            <w:gridSpan w:val="7"/>
            <w:vAlign w:val="bottom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ОТЧЕТНОСТЬ ФЕДЕРАЛЬНОЙ НАЛОГОВОЙ СЛУЖБЫ</w:t>
            </w:r>
          </w:p>
        </w:tc>
        <w:tc>
          <w:tcPr>
            <w:tcW w:w="558" w:type="dxa"/>
            <w:gridSpan w:val="2"/>
          </w:tcPr>
          <w:p/>
        </w:tc>
      </w:tr>
      <w:tr>
        <w:trPr>
          <w:trHeight w:hRule="exact" w:val="458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9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10374" w:type="dxa"/>
            <w:gridSpan w:val="9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ОТЧЕТ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 НАЛОГОВОЙ БАЗЕ И СТРУКТУРЕ НАЧИСЛЕНИЙ ПО АКЦИЗАМ НА СПИРТ, АЛКОГОЛЬНУЮ, СПИРТОСОДЕРЖАЩУЮ ПРОДУКЦИЮ И ВИНОГРАД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за 2022 год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top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8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Представляется:</w:t>
            </w:r>
          </w:p>
        </w:tc>
        <w:tc>
          <w:tcPr>
            <w:tcW w:w="3038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Сроки 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представления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1920" w:type="dxa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 формы</w:t>
            </w:r>
          </w:p>
        </w:tc>
        <w:tc>
          <w:tcPr>
            <w:tcW w:w="559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5AL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865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Управлениями ФНС России по субъектам Российской Федерации - Федеральной налоговой службе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Межрегиональными инспекциями ФНС России по крупнейшим налогоплательщикам – в Управления ФНС России по соответствующим субъектам Российской Федерации 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Межрайонными инспекциями ФНС России по крупнейшим налогоплательщикам – в межрегиональные инспекции ФНС России по крупнейшим налогоплательщикам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Территориальными налоговыми органами ФНС России финансовым органам субъекта Российской Федерации и финансовым органам местных администраций</w:t>
            </w:r>
          </w:p>
        </w:tc>
        <w:tc>
          <w:tcPr>
            <w:tcW w:w="303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27.02.2023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3 рабочих дня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на 5 рабочих дней ранее срока, установленного для УФНС России по субъектам Российской Федерации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pacing w:val="-2"/>
              </w:rPr>
              <w:t xml:space="preserve">не позднее 14.04.2023</w:t>
            </w:r>
          </w:p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Форма № 5-АЛ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Утверждена приказом ФНС России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от 28.10.2022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№ ЕД-7-1/997@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	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Годовая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2120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4628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303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229" w:type="dxa"/>
            <w:tcBorders>
              <w:left w:val="single" w:sz="5" w:space="0" w:color="000000"/>
              <w:right w:val="single" w:sz="5" w:space="0" w:color="000000"/>
            </w:tcBorders>
          </w:tcPr>
          <w:p/>
        </w:tc>
        <w:tc>
          <w:tcPr>
            <w:tcW w:w="247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/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7666" w:type="dxa"/>
            <w:gridSpan w:val="5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229" w:type="dxa"/>
            <w:tcBorders>
              <w:bottom w:val="single" w:sz="5" w:space="0" w:color="000000"/>
            </w:tcBorders>
          </w:tcPr>
          <w:p/>
        </w:tc>
        <w:tc>
          <w:tcPr>
            <w:tcW w:w="2479" w:type="dxa"/>
            <w:gridSpan w:val="3"/>
            <w:tcBorders>
              <w:top w:val="single" w:sz="5" w:space="0" w:color="000000"/>
              <w:bottom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559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346" w:type="dxa"/>
            <w:gridSpan w:val="2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Код</w:t>
            </w:r>
          </w:p>
        </w:tc>
        <w:tc>
          <w:tcPr>
            <w:tcW w:w="5302" w:type="dxa"/>
            <w:gridSpan w:val="5"/>
            <w:vAlign w:val="center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Наименование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2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Республика, край, область, автономное образование, город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Республика Адыгея (Адыгея)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903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Налоговый орган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0100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УФНС России по Республике Адыгея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691"/>
        </w:trPr>
        <w:tc>
          <w:tcPr>
            <w:tcW w:w="229" w:type="dxa"/>
            <w:tcBorders>
              <w:right w:val="single" w:sz="5" w:space="0" w:color="000000"/>
            </w:tcBorders>
          </w:tcPr>
          <w:p/>
        </w:tc>
        <w:tc>
          <w:tcPr>
            <w:tcW w:w="372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Муниципальное образование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79622420</w:t>
            </w:r>
          </w:p>
        </w:tc>
        <w:tc>
          <w:tcPr>
            <w:tcW w:w="5302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Кировское сельское поселение</w:t>
            </w:r>
          </w:p>
        </w:tc>
        <w:tc>
          <w:tcPr>
            <w:tcW w:w="114" w:type="dxa"/>
            <w:tcBorders>
              <w:left w:val="single" w:sz="5" w:space="0" w:color="000000"/>
            </w:tcBorders>
          </w:tcPr>
          <w:p/>
        </w:tc>
      </w:tr>
      <w:tr>
        <w:trPr>
          <w:trHeight w:hRule="exact" w:val="114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tcBorders>
              <w:top w:val="single" w:sz="5" w:space="0" w:color="000000"/>
            </w:tcBorders>
          </w:tcPr>
          <w:p/>
        </w:tc>
        <w:tc>
          <w:tcPr>
            <w:tcW w:w="114" w:type="dxa"/>
          </w:tcPr>
          <w:p/>
        </w:tc>
      </w:tr>
      <w:tr>
        <w:trPr>
          <w:trHeight w:hRule="exact" w:val="115"/>
        </w:trPr>
        <w:tc>
          <w:tcPr>
            <w:tcW w:w="229" w:type="dxa"/>
          </w:tcPr>
          <w:p/>
        </w:tc>
        <w:tc>
          <w:tcPr>
            <w:tcW w:w="10374" w:type="dxa"/>
            <w:gridSpan w:val="9"/>
            <w:vAlign w:val="bottom"/>
            <w:tcBorders>
              <w:bottom w:val="double" w:sz="5" w:space="0" w:color="000000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</w:p>
        </w:tc>
        <w:tc>
          <w:tcPr>
            <w:tcW w:w="114" w:type="dxa"/>
          </w:tcPr>
          <w:p/>
        </w:tc>
      </w:tr>
    </w:tbl>
    <w:p>
      <w:pPr>
        <w:sectPr>
          <w:pgSz w:w="11906" w:h="16838"/>
          <w:pgMar w:top="567" w:right="567" w:bottom="517" w:left="567" w:header="567" w:footer="517" w:gutter="0"/>
        </w:sectPr>
      </w:pPr>
    </w:p>
    <w:tbl>
      <w:tblPr>
        <w:tblStyle w:val="a1"/>
        <w:tblW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/>
      </w:tblPr>
      <w:tblGrid>
        <w:gridCol w:w="1017"/>
        <w:gridCol w:w="1576"/>
        <w:gridCol w:w="788"/>
        <w:gridCol w:w="1920"/>
        <w:gridCol w:w="1132"/>
        <w:gridCol w:w="1018"/>
        <w:gridCol w:w="1346"/>
        <w:gridCol w:w="1018"/>
        <w:gridCol w:w="1246"/>
        <w:gridCol w:w="2479"/>
        <w:gridCol w:w="2092"/>
      </w:tblGrid>
      <w:tr>
        <w:trPr>
          <w:trHeight w:hRule="exact" w:val="444"/>
        </w:trPr>
        <w:tc>
          <w:tcPr>
            <w:tcW w:w="15632" w:type="dxa"/>
            <w:gridSpan w:val="11"/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pacing w:val="-2"/>
              </w:rPr>
              <w:t xml:space="preserve">Акцизы на спирт, алкогольную, спиртосодержащую продукцию и виноград</w:t>
            </w:r>
          </w:p>
        </w:tc>
      </w:tr>
      <w:tr>
        <w:trPr>
          <w:trHeight w:hRule="exact" w:val="229"/>
        </w:trPr>
        <w:tc>
          <w:tcPr>
            <w:tcW w:w="15632" w:type="dxa"/>
            <w:gridSpan w:val="11"/>
            <w:tcBorders>
              <w:bottom w:val="single" w:sz="5" w:space="0" w:color="696969"/>
            </w:tcBorders>
          </w:tcPr>
          <w:p/>
        </w:tc>
      </w:tr>
      <w:tr>
        <w:trPr>
          <w:trHeight w:hRule="exact" w:val="1018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Показатели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строки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Код вида продукции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Значение показателей (налоговая база)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</w:t>
            </w:r>
          </w:p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(тыс.руб.)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Количество налогоплательщиков (шт.)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А</w:t>
            </w:r>
          </w:p>
        </w:tc>
        <w:tc>
          <w:tcPr>
            <w:tcW w:w="113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Б</w:t>
            </w:r>
          </w:p>
        </w:tc>
        <w:tc>
          <w:tcPr>
            <w:tcW w:w="23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В</w:t>
            </w:r>
          </w:p>
        </w:tc>
        <w:tc>
          <w:tcPr>
            <w:tcW w:w="2264" w:type="dxa"/>
            <w:gridSpan w:val="2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1</w:t>
            </w:r>
          </w:p>
        </w:tc>
        <w:tc>
          <w:tcPr>
            <w:tcW w:w="2479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2</w:t>
            </w:r>
          </w:p>
        </w:tc>
        <w:tc>
          <w:tcPr>
            <w:tcW w:w="2092" w:type="dxa"/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3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Операции, подлежащие налогообложению акцизами (за исключением экспорта)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 кодом признака 0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1021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-получение денатурированного этилового спирта организацией, имеющей свидетельство на производство неспиртосодержащей продукции (п.п. 20 п.1 стр. 182 НК) (литр)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получение этилового спирта организацией, имеющей свидетельство, предусмотренное подпунктами 2 - 5 пункта 1 статьи 179.2 (п.п..20.1 п. 1 стр. 182 НК)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 (за исключением вин, игристых вин (шампанских)),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23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 (ликерное вино с защищенным географическим указанием, с защищенным наименованием места происхождения (специальное вино))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1090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346 590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8 317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7 237 153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238 122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5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(стр.1240= стр.1241+стр.1242+стр.1243)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до 0,5 процента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310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1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1243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Сумма акциза,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этиловый спирт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денатурированного этилового спирта организацией, имеющей свидетельство на производство неспиртосодержащей продукции,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начисленная при получении этилового спирта организацией, имеющей свидетельство, предусмотренное подпунктами 2 - 5 пункта 1 статьи 179.2, подлежащая вычету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111, 121, 160, 170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свыше 9 процентов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224,225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77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этилового свыше 9 процентов, производимая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226,227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алкогольная продукция с объемной долей этилового спирта до 9 процентов включительно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сидр, пуаре, медовуха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232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виноматериалы, (кроме крепленого вина наливом),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251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142 002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виноматериалы (кроме крепленого вина наливом) из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252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кроме производимого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253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виноградное сусло, производимое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1350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- плодовое сусло</w:t>
            </w:r>
          </w:p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плодовые сброженные материалы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255,256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274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кроме производимых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276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игристые вина, включая российское шампанское,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1390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275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7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вина (за исключением крепленых (ликерных) вин), производимые из подакцизного винограда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277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2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фруктовые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287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447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винные напитки, виноградосодержащие напитки, плодовые алкогольные напитки, изготавливаемые без добавления ректификованного этилового спирта, произведенного из пищевого сырья, и (или) спиртованных виноградного или иного плодового сусла, и (или) дистиллятов, и (или) крепленого (ликерного) вина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288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плодовая алкогольная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289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30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спиртосодержащая продукция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4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(стр.1460=стр.1461+стр.1462)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в том числе: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0,5 процента и до 8,6 процента включительно, напитки, изготавливаемые на основе пива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1461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320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пиво с нормативным (стандартизированным) содержанием объемной доли этилового спирта свыше 8,6 процента 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1462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89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Реализация подакцизных товаров, помещенных под таможенную процедуру экспорта, за пределы территории Российской Федерации при отсутствии банковской гарантии (договора поручительства), и реализация подакцизных товаров на территорию государств - членов ЕАЭС, по которой в установленный срок не представлены документы, подтверждающие факт экспорта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1470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385 050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12 707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- Сумма акциза, предъявленная к возмещению, по подакцизным товарам, факт экспорта которых (в том числе в государства – члены ЕАЭС) документально подтвержден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1480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111, 121, 140, 150, 160, 161, 162, 163, 164 165, 170, 224, 225, 226,227, 231, 232, 251, 252, 253, 254, 255, 256, 274, 275, 276, 277, 287, 288, 289, 290, 320, 330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20 000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660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за пределы территории Российской Федерации, за исключением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1490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662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Реализация подакцизных товаров, помещенных под таможенную процедуру экспорта, в страны - члены ЕАЭС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1500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111, 121, 140, 150, 160, 161, 162, 163, 164, 165, 170, 224, 225, 226, 227, 231, 232, 251, 252, 253, 254, 255, 256, 274, 275, 276, 277, 287, 288, 289, 290, 320, 330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788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исчисленная к уплате в бюджет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1510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100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Общая сумма авансового платежа акциза по алкогольной и (или) подакцизной спиртосодержащей продукции, освобождение от уплаты которой предоставляется при представлении банковской гарантии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1520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</w:tr>
      <w:tr>
        <w:trPr>
          <w:trHeight w:hRule="exact" w:val="559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Сумма авансового платежа акциза, уплаченная производителем и подлежащая вычету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1530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224, 225, 226, 227, 231, 290</w:t>
            </w: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0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Х</w:t>
            </w:r>
          </w:p>
        </w:tc>
      </w:tr>
      <w:tr>
        <w:trPr>
          <w:trHeight w:hRule="exact" w:val="343"/>
        </w:trPr>
        <w:tc>
          <w:tcPr>
            <w:tcW w:w="5301" w:type="dxa"/>
            <w:gridSpan w:val="4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Контрольная сумма (стр.1540=сумма строк 1020-1530)</w:t>
            </w:r>
          </w:p>
        </w:tc>
        <w:tc>
          <w:tcPr>
            <w:tcW w:w="113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1540</w:t>
            </w:r>
          </w:p>
        </w:tc>
        <w:tc>
          <w:tcPr>
            <w:tcW w:w="23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264" w:type="dxa"/>
            <w:gridSpan w:val="2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7 988 793</w:t>
            </w:r>
          </w:p>
        </w:tc>
        <w:tc>
          <w:tcPr>
            <w:tcW w:w="2479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401 808</w:t>
            </w:r>
          </w:p>
        </w:tc>
        <w:tc>
          <w:tcPr>
            <w:tcW w:w="2092" w:type="dxa"/>
            <w:tcMar>
              <w:top w:w="43" w:type="dxa"/>
              <w:left w:w="43" w:type="dxa"/>
              <w:right w:w="43" w:type="dxa"/>
            </w:tcMar>
            <w:vAlign w:val="center"/>
            <w:tcBorders>
              <w:top w:val="single" w:sz="5" w:space="0" w:color="696969"/>
              <w:left w:val="single" w:sz="5" w:space="0" w:color="696969"/>
              <w:bottom w:val="single" w:sz="5" w:space="0" w:color="696969"/>
              <w:right w:val="single" w:sz="5" w:space="0" w:color="696969"/>
            </w:tcBorders>
            <w:shd w:val="clear" w:color="auto" w:fill="auto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4</w:t>
            </w:r>
          </w:p>
        </w:tc>
      </w:tr>
      <w:tr>
        <w:trPr>
          <w:trHeight w:hRule="exact" w:val="559"/>
        </w:trPr>
        <w:tc>
          <w:tcPr>
            <w:tcW w:w="15632" w:type="dxa"/>
            <w:gridSpan w:val="11"/>
            <w:tcBorders>
              <w:top w:val="single" w:sz="5" w:space="0" w:color="696969"/>
            </w:tcBorders>
          </w:tcPr>
          <w:p/>
        </w:tc>
      </w:tr>
      <w:tr>
        <w:trPr>
          <w:trHeight w:hRule="exact" w:val="344"/>
        </w:trPr>
        <w:tc>
          <w:tcPr>
            <w:tcW w:w="1017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«        »</w:t>
            </w:r>
          </w:p>
        </w:tc>
        <w:tc>
          <w:tcPr>
            <w:tcW w:w="1576" w:type="dxa"/>
            <w:tcMar>
              <w:top w:w="43" w:type="dxa"/>
              <w:left w:w="43" w:type="dxa"/>
              <w:right w:w="43" w:type="dxa"/>
            </w:tcMar>
            <w:vAlign w:val="bottom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788" w:type="dxa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right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      г.</w:t>
            </w:r>
          </w:p>
        </w:tc>
        <w:tc>
          <w:tcPr>
            <w:tcW w:w="6434" w:type="dxa"/>
            <w:gridSpan w:val="5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bottom"/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  <w:t xml:space="preserve">Руководитель налогового органа </w:t>
            </w:r>
          </w:p>
        </w:tc>
      </w:tr>
      <w:tr>
        <w:trPr>
          <w:trHeight w:hRule="exact" w:val="229"/>
        </w:trPr>
        <w:tc>
          <w:tcPr>
            <w:tcW w:w="1017" w:type="dxa"/>
          </w:tcPr>
          <w:p/>
        </w:tc>
        <w:tc>
          <w:tcPr>
            <w:tcW w:w="1576" w:type="dxa"/>
            <w:tcBorders>
              <w:top w:val="single" w:sz="5" w:space="0" w:color="000000"/>
            </w:tcBorders>
          </w:tcPr>
          <w:p/>
        </w:tc>
        <w:tc>
          <w:tcPr>
            <w:tcW w:w="13039" w:type="dxa"/>
            <w:gridSpan w:val="9"/>
          </w:tcPr>
          <w:p/>
        </w:tc>
      </w:tr>
      <w:tr>
        <w:trPr>
          <w:trHeight w:hRule="exact" w:val="330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vAlign w:val="center"/>
            <w:tcBorders>
              <w:bottom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pacing w:val="-2"/>
              </w:rPr>
            </w:pPr>
          </w:p>
        </w:tc>
      </w:tr>
      <w:tr>
        <w:trPr>
          <w:trHeight w:hRule="exact" w:val="344"/>
        </w:trPr>
        <w:tc>
          <w:tcPr>
            <w:tcW w:w="7451" w:type="dxa"/>
            <w:gridSpan w:val="6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 ( Ф.И.О., номер телефона исполнителя)</w:t>
            </w:r>
          </w:p>
        </w:tc>
        <w:tc>
          <w:tcPr>
            <w:tcW w:w="2364" w:type="dxa"/>
            <w:gridSpan w:val="2"/>
          </w:tcPr>
          <w:p/>
        </w:tc>
        <w:tc>
          <w:tcPr>
            <w:tcW w:w="5817" w:type="dxa"/>
            <w:gridSpan w:val="3"/>
            <w:tcMar>
              <w:top w:w="43" w:type="dxa"/>
              <w:left w:w="43" w:type="dxa"/>
              <w:right w:w="43" w:type="dxa"/>
            </w:tcMar>
            <w:tcBorders>
              <w:top w:val="single" w:sz="5" w:space="0" w:color="000000"/>
            </w:tcBorders>
            <w:shd w:val="clear" w:color="auto" w:fill="FFFFFF"/>
          </w:tcPr>
          <w:p>
            <w:pPr>
              <w:spacing w:line="230"/>
              <w:jc w:val="center"/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16"/>
                <w:spacing w:val="-2"/>
              </w:rPr>
              <w:t xml:space="preserve">(подпись, Ф.И.О. руководителя)</w:t>
            </w:r>
          </w:p>
        </w:tc>
      </w:tr>
    </w:tbl>
    <w:sectPr>
      <w:pgSz w:w="16838" w:h="11906" w:orient="landscape"/>
      <w:pgMar w:top="567" w:right="567" w:bottom="517" w:left="567" w:header="567" w:footer="517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/>
  <w:font w:name="Cambria"/>
  <w:font w:name="Times New Roman"/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E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Company>Stimulsoft Reports 2019.3.3 from 20 July 2019</Company>
  <Template>Normal.dotm</Template>
  <TotalTime>0</TotalTime>
  <Pages>1</Pages>
  <Words>1</Words>
  <Characters>1</Characters>
  <DocSecurity>0</DocSecurity>
  <Lines>1</Lines>
  <Paragraphs>1</Paragraphs>
  <ScaleCrop>false</ScaleCrop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Stimulsoft Reports 2019.3.3 from 20 July 2019</cp:lastModifiedBy>
  <cp:revision>1</cp:revision>
  <dcterms:created xsi:type="dcterms:W3CDTF">2023-08-02T12:25:39Z</dcterms:created>
  <dcterms:modified xsi:type="dcterms:W3CDTF">2023-08-02T12:25:39Z</dcterms:modified>
</cp:coreProperties>
</file>