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29"/>
        <w:gridCol w:w="903"/>
        <w:gridCol w:w="3152"/>
        <w:gridCol w:w="1361"/>
        <w:gridCol w:w="2135"/>
        <w:gridCol w:w="115"/>
        <w:gridCol w:w="1920"/>
        <w:gridCol w:w="344"/>
        <w:gridCol w:w="444"/>
        <w:gridCol w:w="114"/>
      </w:tblGrid>
      <w:tr>
        <w:trPr>
          <w:trHeight w:hRule="exact" w:val="444"/>
        </w:trPr>
        <w:tc>
          <w:tcPr>
            <w:tcW w:w="10717" w:type="dxa"/>
            <w:gridSpan w:val="10"/>
          </w:tcPr>
          <w:p/>
        </w:tc>
      </w:tr>
      <w:tr>
        <w:trPr>
          <w:trHeight w:hRule="exact" w:val="459"/>
        </w:trPr>
        <w:tc>
          <w:tcPr>
            <w:tcW w:w="1132" w:type="dxa"/>
            <w:gridSpan w:val="2"/>
          </w:tcPr>
          <w:p/>
        </w:tc>
        <w:tc>
          <w:tcPr>
            <w:tcW w:w="9027" w:type="dxa"/>
            <w:gridSpan w:val="6"/>
            <w:vAlign w:val="bottom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ОТЧЕТНОСТЬ ФЕДЕРАЛЬНОЙ НАЛОГОВОЙ СЛУЖБЫ</w:t>
            </w:r>
          </w:p>
        </w:tc>
        <w:tc>
          <w:tcPr>
            <w:tcW w:w="558" w:type="dxa"/>
            <w:gridSpan w:val="2"/>
          </w:tcPr>
          <w:p/>
        </w:tc>
      </w:tr>
      <w:tr>
        <w:trPr>
          <w:trHeight w:hRule="exact" w:val="444"/>
        </w:trPr>
        <w:tc>
          <w:tcPr>
            <w:tcW w:w="229" w:type="dxa"/>
          </w:tcPr>
          <w:p/>
        </w:tc>
        <w:tc>
          <w:tcPr>
            <w:tcW w:w="10374" w:type="dxa"/>
            <w:gridSpan w:val="8"/>
            <w:tcBorders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920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10374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 НАЛОГОВОЙ БАЗЕ И СТРУКТУРЕ НАЧИСЛЕНИЙ ПО НАЛОГУ НА ДОПОЛНИТЕЛЬНЫЙ ДОХОД ОТ ДОБЫЧИ УГЛЕВОДОРОДНОГО СЫРЬЯ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состоянию на 01.01.2023 	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229" w:type="dxa"/>
          </w:tcPr>
          <w:p/>
        </w:tc>
        <w:tc>
          <w:tcPr>
            <w:tcW w:w="7551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5" w:type="dxa"/>
            <w:tcBorders>
              <w:top w:val="single" w:sz="5" w:space="0" w:color="000000"/>
            </w:tcBorders>
          </w:tcPr>
          <w:p/>
        </w:tc>
        <w:tc>
          <w:tcPr>
            <w:tcW w:w="270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788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Представляется:</w:t>
            </w:r>
          </w:p>
        </w:tc>
        <w:tc>
          <w:tcPr>
            <w:tcW w:w="349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Сроки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представления</w:t>
            </w:r>
          </w:p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 формы</w:t>
            </w:r>
          </w:p>
        </w:tc>
        <w:tc>
          <w:tcPr>
            <w:tcW w:w="78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NDD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Управлениями ФНС России по субъектам Российской Федерации Федеральной налоговой службе;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Межрайонными инспекциями ФНС России по крупнейшим налогоплательщикам – в межрегиональные инспекции ФНС России по крупнейшим налогоплательщикам</w:t>
            </w:r>
          </w:p>
        </w:tc>
        <w:tc>
          <w:tcPr>
            <w:tcW w:w="349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состоянию на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01.04.2022 - 10 июня 2022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01.07.2022 - 30 сентября 2022 г.;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 01.10.2022 – 02 декабря 2022 г.;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По итогам 2022 г. - 26 мая 2023 г.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за 5 (пять) рабочих дня до срока представления отчета УФНС в ФНС России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за 7 (семь) рабочих дней до срока представления отчета УФНС в ФНС России</w:t>
            </w:r>
          </w:p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Форма № 5-НДД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Утверждена приказом ФНС России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 02.12.2019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 ММВ-7-1/609@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В редакции приказа ФНС России	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 12.08.2020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№ ЕД-7-1/575@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Квартальная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70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30"/>
        </w:trPr>
        <w:tc>
          <w:tcPr>
            <w:tcW w:w="229" w:type="dxa"/>
          </w:tcPr>
          <w:p/>
        </w:tc>
        <w:tc>
          <w:tcPr>
            <w:tcW w:w="7551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5" w:type="dxa"/>
            <w:tcBorders>
              <w:bottom w:val="single" w:sz="5" w:space="0" w:color="000000"/>
            </w:tcBorders>
          </w:tcPr>
          <w:p/>
        </w:tc>
        <w:tc>
          <w:tcPr>
            <w:tcW w:w="2708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558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36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Код</w:t>
            </w:r>
          </w:p>
        </w:tc>
        <w:tc>
          <w:tcPr>
            <w:tcW w:w="495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18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Республика, край, область, автономное образование, город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01</w:t>
            </w: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Республика Адыгея (Адыгея)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32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Налоговый орган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90"/>
        </w:trPr>
        <w:tc>
          <w:tcPr>
            <w:tcW w:w="229" w:type="dxa"/>
            <w:tcBorders>
              <w:right w:val="single" w:sz="5" w:space="0" w:color="000000"/>
            </w:tcBorders>
          </w:tcPr>
          <w:p/>
        </w:tc>
        <w:tc>
          <w:tcPr>
            <w:tcW w:w="40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Муниципальное образование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495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5"/>
        </w:trPr>
        <w:tc>
          <w:tcPr>
            <w:tcW w:w="229" w:type="dxa"/>
          </w:tcPr>
          <w:p/>
        </w:tc>
        <w:tc>
          <w:tcPr>
            <w:tcW w:w="10374" w:type="dxa"/>
            <w:gridSpan w:val="8"/>
            <w:tcBorders>
              <w:top w:val="single" w:sz="5" w:space="0" w:color="000000"/>
            </w:tcBorders>
          </w:tcPr>
          <w:p/>
        </w:tc>
        <w:tc>
          <w:tcPr>
            <w:tcW w:w="114" w:type="dxa"/>
          </w:tcPr>
          <w:p/>
        </w:tc>
      </w:tr>
      <w:tr>
        <w:trPr>
          <w:trHeight w:hRule="exact" w:val="115"/>
        </w:trPr>
        <w:tc>
          <w:tcPr>
            <w:tcW w:w="229" w:type="dxa"/>
          </w:tcPr>
          <w:p/>
        </w:tc>
        <w:tc>
          <w:tcPr>
            <w:tcW w:w="10374" w:type="dxa"/>
            <w:gridSpan w:val="8"/>
            <w:vAlign w:val="bottom"/>
            <w:tcBorders>
              <w:bottom w:val="doub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</w:p>
        </w:tc>
        <w:tc>
          <w:tcPr>
            <w:tcW w:w="114" w:type="dxa"/>
          </w:tcPr>
          <w:p/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Отчет о налоговой базе и структуре начислений по налогу на дополнительный доход от добычи углеводородного сырья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А1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1140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2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 w:orient="landscape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2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2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Б1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Затраты на работы по достройке, дооборудованию, реконструкции, модернизации, техническому перевооружению, соответствующих объектов, относящихся к амортизируемому имуществу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Материальные расходы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оплату труда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содержание и эксплуатацию, ремонт и техническое обслуживание основных средств и иного имущества, а также на поддержание их в исправном (актуальном) состоянии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освоение природных ресурсов, разовые, регулярные и иные платежи за пользование недрами, предусмотренные законодательством Российской Федерации о недрах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научные исследования и опытно-конструкторские разработки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обязательное и добровольное страхование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Расходы, указанные в подпункте 7 пункта 5 статьи 333.47 Кодекса,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20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2461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2462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2463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2464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сертификацию продукции и услуг, а также на декларирование соответствия с участием третьей стороны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по стандартизации с учетом положений пункта 5 статьи 264 Кодекса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Суммы комиссионных сборов и иных подобных расходов за выполненные сторонними организациями работы (предоставленные услуги)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Суммы выплаченных подъемных в пределах норм, установленных в соответствии с законодательством Российской Федерации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866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обеспечение пожарной безопасности налогоплательщика в соответствии с законодательством Российской Федерации, расходы на содержание службы газоспасателей, расходы на услуги по охране имущества, обслуживанию охранно-пожарной сигнализации, расходы на приобретение услуг пожарной охраны и иных услуг охранной деятельности, в том числе услуг, оказываемых вневедомственной охраной при органах внутренних дел Российской Федерации в соответствии с законодательством Российской Федерации, а также расходы на содержание собственной службы безопасности по выполнению функций экономической защиты банковских и хозяйственных операций и сохранности материальных ценностей (за исключением расходов на экипировку, приобретение оружия и иных специальных средств защиты)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2485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149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149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150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обеспечение нормальных условий труда и мер по технике безопасности, предусмотренных законодательством Российской Федерации, расходы на гражданскую оборону в соответствии с законодательством Российской Федерации, а также расходы на лечение профессиональных заболеваний работников, занятых на работах с вредными или тяжелыми условиями труда, расходы, связанные с содержанием помещений и инвентаря здравпунктов, находящихся непосредственно на территории организации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2490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149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21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по набору работников, включая расходы на услуги специализированных организаций по подбору персонала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2495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Арендные (лизинговые) платежи за арендуемое (принятое в лизинг) имущество (в том числе земельные участки), а также расходы на приобретение имущества, переданного в лизинг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Плата, вносимая концессионером концеденту в период использования (эксплуатации) объекта концессионного соглашения (концессионная плата)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75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содержание служебного транспорта (автомобильного, железнодорожного, воздушного и иных видов транспорта). Расходы на компенсацию за использование для служебных поездок личных легковых автомобилей и мотоциклов в пределах норм, установленных правительством российской федерации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командировки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9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доставку от места жительства (сбора) до места работы и обратно работников, занятых в организациях, которые осуществляют свою деятельность вахтовым способом или в полевых (экспедиционных) условиях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консультационные и иные аналогичные услуги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управление организацией или отдельными ее подразделениями, а также расходы на приобретение услуг по управлению организацией или ее отдельными подразделениями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536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услуги по предоставлению труда работников (персонала) сторонними организациями для участия в производственной деятельности, в том числе в управлении производством, выполнении иных функций, связанных с производством и (или) реализацией продукции (работ, услуг)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2535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9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обучение и прохождение независимой оценки квалификации на соответствие требованиям к квалификации работников налогоплательщика в порядке, предусмотренном пунктом 3 статьи 264 Кодекса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канцелярские товары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2545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почтовые, телефонные, телеграфные и другие подобные услуги, расходы на оплату услуг связи, вычислительных центров и банков, включая расходы на услуги факсимильной и спутниковой связи, электронной почты, а также информационных систем (СВИФТ, информационно-телекоммуникационная сеть "Интернет" и иные аналогичные системы)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590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Расходы, связанные с приобретением права на использование программ для ЭВМ и баз данных по договорам с правообладателем (по лицензионным и сублицензионным соглашениям)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текущее изучение (исследование) конъюнктуры рынка, сбор информации, непосредственно связанной с производством и реализацией товаров (работ, услуг)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75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содержание вахтовых и временных поселков, включая все объекты жилищно-коммунального и социально-бытового назначения, подсобных хозяйств и иных аналогичных служб, в организациях, осуществляющих свою деятельность вахтовым способом или работающих в полевых (экспедиционных) условиях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подготовку и освоение новых производств, цехов и агрегатов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Расходы, связанные с внедрением технологий производства, а также методов организации производства и управления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09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Периодические (текущие) платежи за пользование правами на результаты интеллектуальной деятельности и правами на средства индивидуализации (в частности, правами, возникающими из патентов на изобретения, полезные модели, промышленные образцы)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Платежи за регистрацию прав на недвижимое имущество и землю, сделок с указанными объектами, платежи за предоставление информации о зарегистрированных правах, оплата услуг уполномоченных органов и специализированных организаций по оценке имущества, изготовлению документов кадастрового и технического учета (инвентаризации) объектов недвижимости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2585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по договорам гражданско-правового характера (включая договоры подряда), заключенным с индивидуальными предпринимателями, не состоящими в штате организации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2590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9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Взносы по обязательному социальному страхованию от несчастных случаев на производстве и профессиональных заболеваний, производимые в соответствии с законодательством Российской Федерации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2595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Потери от брака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4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Расходы, связанные с содержанием помещений объектов общественного питания, обслуживающих трудовые коллективы (включая расходы на проведение ремонта помещений, расходы на освещение, отопление, водоснабжение, электроснабжение, а также на топливо для приготовления пищи), если подобные расходы не учитываются в соответствии со статьей 275.1 Кодекса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2605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6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работодателя по выплате в соответствии с законодательством Российской Федерации пособия по временной нетрудоспособности, согласно пп. 48.1 п. 1 ст. 264 Кодекса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Платежи (взносы) работодателей по договорам добровольного личного страхования, согласно пп. 48.2 п. 1 ст. 264 кодекса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налогоплательщика, в пользу которого в установленном законодательством Российской Федерации порядке переходит право пользования участком недр, в виде компенсации расходов на освоение природных ресурсов, ранее осуществленных прежним владельцем лицензии на пользование этим участком недр в целях ее приобретения, в сумме фактических затрат налогоплательщика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2620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хранение и транспортировку (доставку) добытых на участке недр нефти и газового конденсата, осуществляемые до коммерческого узла (коммерческих узлов) учета углеводородного сырья, на котором (которых) в соответствии с техническим проектом разработки месторождения производится передача добытого углеводородного сырья организациям, осуществляющим транспортировку (перевозку) нефти и газового конденсата по системе магистральных нефте- и газопроводов, железнодорожным и автомобильным транспортом, морскими, речными судами или судами смешанного (река - море) плавания, либо реализация углеводородного сырья третьим лицам без сдачи третьим лицам для транспортировки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2650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820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8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321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геолого-технические мероприятия, услуги по добыче и подъему углеводородного сырья, услуги геологии и геофизики, услуги по подготовке и доведению углеводородного сырья до качества, при котором такое сырье признается товаром в отношении налогоплательщика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Расходы, указанные в подпункте 10 пункта 5 статьи 333.47 Кодекса, всего, в том числе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149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ликвидацию выводимых из эксплуатации основных средств, на списание нематериальных активов, включая суммы недоначисленной в соответствии с установленным сроком полезного использования амортизации, а также расходы на ликвидацию объектов незавершенного строительства и иного имущества, монтаж которого не завершен (расходы на демонтаж, разборку, вывоз разобранного имущества), охрану недр и другие аналогичные работы, если иное не установлено статьей 267.4 Кодекса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2755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149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89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Расходы, связанные с консервацией и расконсервацией производственных мощностей и объектов, в том числе затраты на содержание законсервированных производственных мощностей и объектов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по операциям с тарой, если иное не предусмотрено положениями пункта 3 статьи 254 Кодекса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90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на проведение работ по мобилизационной подготовке, включая затраты на содержание мощностей и объектов, необходимых для выполнения мобилизационного плана, за исключением расходов на приобретение, создание, реконструкцию, модернизацию, техническое перевооружение амортизируемого имущества, относящегося к мобилизационным мощностям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2770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90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1877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Потери от стихийных бедствий, пожаров, аварий и других чрезвычайных ситуаций, включая затраты, связанные с предотвращением или ликвидацией последствий стихийных бедствий или чрезвычайных ситуаций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2775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30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В1</w:t>
            </w:r>
          </w:p>
        </w:tc>
      </w:tr>
      <w:tr>
        <w:trPr>
          <w:trHeight w:hRule="exact" w:val="55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2940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 (тонны)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 (тыс. м3)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3240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1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А2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10070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10170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10270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10370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10470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10570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10670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10770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10870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10920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3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А2 -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1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1 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Б2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13370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13770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13820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1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В2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14000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15500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15720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2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А3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20070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20170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20470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20570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20670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20770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20870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20920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3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А3 -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1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2 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Б3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23370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23770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23820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2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В3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24000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25500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25570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Кг&lt;=0,4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Кг&gt;=1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3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А4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2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1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А4 -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0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3 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Б4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3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В4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34000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35500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35700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4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А5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40065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40165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40265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3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40365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40465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40565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40665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40765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40865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40915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44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7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А5 -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5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4 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Б5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43365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43805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43810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43815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361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4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В5</w:t>
            </w:r>
          </w:p>
        </w:tc>
      </w:tr>
      <w:tr>
        <w:trPr>
          <w:trHeight w:hRule="exact" w:val="55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44000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44500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44715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45000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45500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45565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&lt;= 0,5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 0,75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 =&gt; 1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45715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46000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64"/>
        <w:gridCol w:w="788"/>
        <w:gridCol w:w="1591"/>
        <w:gridCol w:w="1576"/>
        <w:gridCol w:w="1461"/>
        <w:gridCol w:w="1476"/>
        <w:gridCol w:w="1461"/>
      </w:tblGrid>
      <w:tr>
        <w:trPr>
          <w:trHeight w:hRule="exact" w:val="673"/>
        </w:trPr>
        <w:tc>
          <w:tcPr>
            <w:tcW w:w="10717" w:type="dxa"/>
            <w:gridSpan w:val="7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pacing w:val="-2"/>
              </w:rPr>
              <w:t xml:space="preserve">Сведения о налоге на дополнительный доход от добычи углеводородного сырья в отношении участков недр, указанных в пп. 5 п. 1 ст. 333.45 НК РФ</w:t>
            </w:r>
          </w:p>
        </w:tc>
      </w:tr>
      <w:tr>
        <w:trPr>
          <w:trHeight w:hRule="exact" w:val="244"/>
        </w:trPr>
        <w:tc>
          <w:tcPr>
            <w:tcW w:w="10717" w:type="dxa"/>
            <w:gridSpan w:val="7"/>
            <w:vAlign w:val="bottom"/>
            <w:tcBorders>
              <w:bottom w:val="single" w:sz="5" w:space="0" w:color="696969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330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46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30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А6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Расчетная выручка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50080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Расчетные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1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Восстановленные фактические расходы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50180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Расходы предыдущих периодов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50280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Корректировка, на основании п. 6 ст. 105.3 НК РФ, увеличивающие сумму дополнительных доходов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Дополнительный доход от добычи углеводородного сырья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50380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Убыток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убытка или части убытка, уменьшающего налоговую базу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 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50480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Налоговая база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исчисленного налога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50580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44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Фактические расходы от добычи углеводородного сырья в части сумм налогов за отчетный (налоговый)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Предельные расходы на добычу углеводородного сырья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50680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Минимальная налоговая база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Минимальный налог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50780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начисленных авансовых платежей за предыдущий период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доплате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50850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50855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50860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50865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50870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50875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50880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Х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Сумма налога к уменьшению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50930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51000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tcBorders>
              <w:top w:val="single" w:sz="5" w:space="0" w:color="696969"/>
              <w:bottom w:val="single" w:sz="5" w:space="0" w:color="696969"/>
            </w:tcBorders>
          </w:tcPr>
          <w:p/>
        </w:tc>
      </w:tr>
      <w:tr>
        <w:trPr>
          <w:trHeight w:hRule="exact" w:val="344"/>
        </w:trPr>
        <w:tc>
          <w:tcPr>
            <w:tcW w:w="2364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788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316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Доходные участки недр</w:t>
            </w:r>
          </w:p>
        </w:tc>
        <w:tc>
          <w:tcPr>
            <w:tcW w:w="2937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Убыточные участки недр</w:t>
            </w:r>
          </w:p>
        </w:tc>
        <w:tc>
          <w:tcPr>
            <w:tcW w:w="1461" w:type="dxa"/>
            <w:vMerge w:val="restart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1232"/>
        </w:trPr>
        <w:tc>
          <w:tcPr>
            <w:tcW w:w="236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788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36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788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59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1232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количество участков недр, данные по которым приведены в Разделе А6 - всего, в том числе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52030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57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Справочно, изменение размера убытков: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1003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начало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52130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17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Остаток неперенесенного убытка на конец налогового периода (тыс. руб.) всего, в том числе: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52205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52210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52215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52220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52225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52230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36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788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52300</w:t>
            </w:r>
          </w:p>
        </w:tc>
        <w:tc>
          <w:tcPr>
            <w:tcW w:w="159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674"/>
        <w:gridCol w:w="1461"/>
        <w:gridCol w:w="1476"/>
        <w:gridCol w:w="1461"/>
        <w:gridCol w:w="1362"/>
        <w:gridCol w:w="1346"/>
      </w:tblGrid>
      <w:tr>
        <w:trPr>
          <w:trHeight w:hRule="exact" w:val="344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Состав фактических расходов в отношении участков недр, указанных в пп. 25п. 1 ст. 333.45 НК РФ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7"/>
            <w:vAlign w:val="bottom"/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тыс.руб.</w:t>
            </w:r>
          </w:p>
        </w:tc>
      </w:tr>
      <w:tr>
        <w:trPr>
          <w:trHeight w:hRule="exact" w:val="100"/>
        </w:trPr>
        <w:tc>
          <w:tcPr>
            <w:tcW w:w="10717" w:type="dxa"/>
            <w:gridSpan w:val="7"/>
            <w:tcBorders>
              <w:bottom w:val="single" w:sz="5" w:space="0" w:color="696969"/>
            </w:tcBorders>
          </w:tcPr>
          <w:p/>
        </w:tc>
      </w:tr>
      <w:tr>
        <w:trPr>
          <w:trHeight w:hRule="exact" w:val="1691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первый квартал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полугодие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отраженные в Приложении 2 Раздела 2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 всего</w:t>
            </w:r>
          </w:p>
        </w:tc>
      </w:tr>
      <w:tr>
        <w:trPr>
          <w:trHeight w:hRule="exact" w:val="229"/>
        </w:trPr>
        <w:tc>
          <w:tcPr>
            <w:tcW w:w="2937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4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461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7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Б6</w:t>
            </w:r>
          </w:p>
        </w:tc>
      </w:tr>
      <w:tr>
        <w:trPr>
          <w:trHeight w:hRule="exact" w:val="1662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Расходы на приобретение, сооружение, изготовление, доставку и доведения до состояния пригодного для использования амортизируемого имущества, всего,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53000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53080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53180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53230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00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Фактические расходы, связанные с производством и реализацией, всего в том числе: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53300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53380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53480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53530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начисленные в установленном Кодексом порядке, за исключением перечисленных в статье 270 Кодекса, всего, в том числе</w:t>
            </w:r>
          </w:p>
        </w:tc>
        <w:tc>
          <w:tcPr>
            <w:tcW w:w="674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53600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vMerge w:val="restart"/>
            <w:tcMar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1705"/>
        </w:trPr>
        <w:tc>
          <w:tcPr>
            <w:tcW w:w="2937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674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7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461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62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/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53680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53750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53755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53760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53765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53770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53775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53780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53805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53810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53815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53820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53825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53830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53900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461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</w:tbl>
    <w:p>
      <w:pPr>
        <w:sectPr>
          <w:pgSz w:w="11906" w:h="16838"/>
          <w:pgMar w:top="567" w:right="567" w:bottom="517" w:left="567" w:header="567" w:footer="517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59"/>
        <w:gridCol w:w="1017"/>
        <w:gridCol w:w="115"/>
        <w:gridCol w:w="1246"/>
        <w:gridCol w:w="115"/>
        <w:gridCol w:w="100"/>
        <w:gridCol w:w="459"/>
        <w:gridCol w:w="344"/>
        <w:gridCol w:w="1117"/>
        <w:gridCol w:w="688"/>
        <w:gridCol w:w="100"/>
        <w:gridCol w:w="573"/>
        <w:gridCol w:w="1576"/>
        <w:gridCol w:w="1362"/>
        <w:gridCol w:w="1346"/>
      </w:tblGrid>
      <w:tr>
        <w:trPr>
          <w:trHeight w:hRule="exact" w:val="444"/>
        </w:trPr>
        <w:tc>
          <w:tcPr>
            <w:tcW w:w="10717" w:type="dxa"/>
            <w:gridSpan w:val="15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 в отношении участков недр, указанных в пп. 5 п. 1 ст. 333.45 НК РФ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15"/>
            <w:tcBorders>
              <w:bottom w:val="single" w:sz="5" w:space="0" w:color="696969"/>
            </w:tcBorders>
          </w:tcPr>
          <w:p/>
        </w:tc>
      </w:tr>
      <w:tr>
        <w:trPr>
          <w:trHeight w:hRule="exact" w:val="1805"/>
        </w:trPr>
        <w:tc>
          <w:tcPr>
            <w:tcW w:w="2937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Наименование показателя</w:t>
            </w:r>
          </w:p>
        </w:tc>
        <w:tc>
          <w:tcPr>
            <w:tcW w:w="674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Код строки</w:t>
            </w:r>
          </w:p>
        </w:tc>
        <w:tc>
          <w:tcPr>
            <w:tcW w:w="1461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первый квартал</w:t>
            </w:r>
          </w:p>
        </w:tc>
        <w:tc>
          <w:tcPr>
            <w:tcW w:w="1361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полугодие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9 месяцев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добытых ресурсов, отраженных в прил. № 2 и № 3 Разд. 2 дНДД за год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Всего</w:t>
            </w:r>
          </w:p>
        </w:tc>
      </w:tr>
      <w:tr>
        <w:trPr>
          <w:trHeight w:hRule="exact" w:val="229"/>
        </w:trPr>
        <w:tc>
          <w:tcPr>
            <w:tcW w:w="2937" w:type="dxa"/>
            <w:gridSpan w:val="4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А</w:t>
            </w:r>
          </w:p>
        </w:tc>
        <w:tc>
          <w:tcPr>
            <w:tcW w:w="674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Б</w:t>
            </w:r>
          </w:p>
        </w:tc>
        <w:tc>
          <w:tcPr>
            <w:tcW w:w="1461" w:type="dxa"/>
            <w:gridSpan w:val="2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361" w:type="dxa"/>
            <w:gridSpan w:val="3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157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1362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346" w:type="dxa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</w:t>
            </w:r>
          </w:p>
        </w:tc>
      </w:tr>
      <w:tr>
        <w:trPr>
          <w:trHeight w:hRule="exact" w:val="344"/>
        </w:trPr>
        <w:tc>
          <w:tcPr>
            <w:tcW w:w="10717" w:type="dxa"/>
            <w:gridSpan w:val="15"/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Раздел В6</w:t>
            </w:r>
          </w:p>
        </w:tc>
      </w:tr>
      <w:tr>
        <w:trPr>
          <w:trHeight w:hRule="exact" w:val="55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добытой нефти (тонны) в том числе: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54000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54080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54180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54230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газового конденсата (тонны), в том числе: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54500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54580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54680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54730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газа природного (тыс. м3), в том числе: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55000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55080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55180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55230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Количество добытого попутного газа (тыс. м3), в том числе: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55500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не уплачивающие минимальный налог, 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55580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Доходные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7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не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55650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55655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55660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55665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55670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55675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3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55680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788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Убыточные участки недр, уплачивающие минимальный налог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55705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Кг=0,2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55710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Кг=0,4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55715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29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Кг=0,6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55720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Кг=0,8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55725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44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по Кг=1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55730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330"/>
        </w:trPr>
        <w:tc>
          <w:tcPr>
            <w:tcW w:w="293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Контрольная сумма</w:t>
            </w:r>
          </w:p>
        </w:tc>
        <w:tc>
          <w:tcPr>
            <w:tcW w:w="674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56000</w:t>
            </w:r>
          </w:p>
        </w:tc>
        <w:tc>
          <w:tcPr>
            <w:tcW w:w="1461" w:type="dxa"/>
            <w:gridSpan w:val="2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1" w:type="dxa"/>
            <w:gridSpan w:val="3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57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62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1346" w:type="dxa"/>
            <w:tcMar>
              <w:top w:w="43" w:type="dxa"/>
              <w:left w:w="43" w:type="dxa"/>
              <w:right w:w="43" w:type="dxa"/>
            </w:tcMar>
            <w:vAlign w:val="center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</w:t>
            </w:r>
          </w:p>
        </w:tc>
      </w:tr>
      <w:tr>
        <w:trPr>
          <w:trHeight w:hRule="exact" w:val="458"/>
        </w:trPr>
        <w:tc>
          <w:tcPr>
            <w:tcW w:w="10717" w:type="dxa"/>
            <w:gridSpan w:val="15"/>
            <w:tcBorders>
              <w:top w:val="single" w:sz="5" w:space="0" w:color="696969"/>
            </w:tcBorders>
          </w:tcPr>
          <w:p/>
        </w:tc>
      </w:tr>
      <w:tr>
        <w:trPr>
          <w:trHeight w:hRule="exact" w:val="330"/>
        </w:trPr>
        <w:tc>
          <w:tcPr>
            <w:tcW w:w="559" w:type="dxa"/>
          </w:tcPr>
          <w:p/>
        </w:tc>
        <w:tc>
          <w:tcPr>
            <w:tcW w:w="1017" w:type="dxa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«        »</w:t>
            </w:r>
          </w:p>
        </w:tc>
        <w:tc>
          <w:tcPr>
            <w:tcW w:w="115" w:type="dxa"/>
          </w:tcPr>
          <w:p/>
        </w:tc>
        <w:tc>
          <w:tcPr>
            <w:tcW w:w="1361" w:type="dxa"/>
            <w:gridSpan w:val="2"/>
            <w:tcMar>
              <w:top w:w="43" w:type="dxa"/>
              <w:left w:w="43" w:type="dxa"/>
              <w:right w:w="43" w:type="dxa"/>
            </w:tcMar>
            <w:vAlign w:val="bottom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00" w:type="dxa"/>
          </w:tcPr>
          <w:p/>
        </w:tc>
        <w:tc>
          <w:tcPr>
            <w:tcW w:w="803" w:type="dxa"/>
            <w:gridSpan w:val="2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      г.</w:t>
            </w:r>
          </w:p>
        </w:tc>
        <w:tc>
          <w:tcPr>
            <w:tcW w:w="1905" w:type="dxa"/>
            <w:gridSpan w:val="3"/>
          </w:tcPr>
          <w:p/>
        </w:tc>
        <w:tc>
          <w:tcPr>
            <w:tcW w:w="3511" w:type="dxa"/>
            <w:gridSpan w:val="3"/>
            <w:tcMar>
              <w:top w:w="43" w:type="dxa"/>
              <w:left w:w="43" w:type="dxa"/>
              <w:right w:w="43" w:type="dxa"/>
            </w:tcMar>
            <w:vAlign w:val="bottom"/>
            <w:shd w:val="clear" w:color="auto" w:fill="FFFFFF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Руководитель налогового органа </w:t>
            </w:r>
          </w:p>
        </w:tc>
        <w:tc>
          <w:tcPr>
            <w:tcW w:w="1346" w:type="dxa"/>
          </w:tcPr>
          <w:p/>
        </w:tc>
      </w:tr>
      <w:tr>
        <w:trPr>
          <w:trHeight w:hRule="exact" w:val="344"/>
        </w:trPr>
        <w:tc>
          <w:tcPr>
            <w:tcW w:w="1691" w:type="dxa"/>
            <w:gridSpan w:val="3"/>
          </w:tcPr>
          <w:p/>
        </w:tc>
        <w:tc>
          <w:tcPr>
            <w:tcW w:w="1361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7665" w:type="dxa"/>
            <w:gridSpan w:val="10"/>
          </w:tcPr>
          <w:p/>
        </w:tc>
      </w:tr>
      <w:tr>
        <w:trPr>
          <w:trHeight w:hRule="exact" w:val="343"/>
        </w:trPr>
        <w:tc>
          <w:tcPr>
            <w:tcW w:w="5760" w:type="dxa"/>
            <w:gridSpan w:val="10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00" w:type="dxa"/>
          </w:tcPr>
          <w:p/>
        </w:tc>
        <w:tc>
          <w:tcPr>
            <w:tcW w:w="4857" w:type="dxa"/>
            <w:gridSpan w:val="4"/>
            <w:tcMar>
              <w:top w:w="43" w:type="dxa"/>
              <w:left w:w="43" w:type="dxa"/>
              <w:right w:w="43" w:type="dxa"/>
            </w:tcMar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</w:tr>
      <w:tr>
        <w:trPr>
          <w:trHeight w:hRule="exact" w:val="330"/>
        </w:trPr>
        <w:tc>
          <w:tcPr>
            <w:tcW w:w="5760" w:type="dxa"/>
            <w:gridSpan w:val="10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 ( Ф.И.О., номер телефона исполнителя)</w:t>
            </w:r>
          </w:p>
        </w:tc>
        <w:tc>
          <w:tcPr>
            <w:tcW w:w="100" w:type="dxa"/>
          </w:tcPr>
          <w:p/>
        </w:tc>
        <w:tc>
          <w:tcPr>
            <w:tcW w:w="4857" w:type="dxa"/>
            <w:gridSpan w:val="4"/>
            <w:tcMar>
              <w:top w:w="43" w:type="dxa"/>
              <w:left w:w="43" w:type="dxa"/>
              <w:right w:w="43" w:type="dxa"/>
            </w:tcMar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(подпись, Ф.И.О. руководителя)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2019.3.3 from 20 July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2019.3.3 from 20 July 2019</cp:lastModifiedBy>
  <cp:revision>1</cp:revision>
  <dcterms:created xsi:type="dcterms:W3CDTF">2023-05-26T12:21:39Z</dcterms:created>
  <dcterms:modified xsi:type="dcterms:W3CDTF">2023-05-26T12:21:39Z</dcterms:modified>
</cp:coreProperties>
</file>