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Layout w:type="fixed"/>
        <w:tblCellMar>
          <w:left w:w="0" w:type="dxa"/>
          <w:right w:w="0" w:type="dxa"/>
        </w:tblCellMar>
        <w:tblLook w:val="04A0" w:firstRow="1" w:lastRow="0" w:firstColumn="1" w:lastColumn="0" w:noHBand="0" w:noVBand="1"/>
      </w:tblPr>
      <w:tblGrid>
        <w:gridCol w:w="229"/>
        <w:gridCol w:w="3611"/>
        <w:gridCol w:w="1347"/>
        <w:gridCol w:w="3052"/>
        <w:gridCol w:w="114"/>
        <w:gridCol w:w="1691"/>
        <w:gridCol w:w="559"/>
        <w:gridCol w:w="114"/>
      </w:tblGrid>
      <w:tr w:rsidR="000E5C84">
        <w:trPr>
          <w:trHeight w:hRule="exact" w:val="444"/>
        </w:trPr>
        <w:tc>
          <w:tcPr>
            <w:tcW w:w="229" w:type="dxa"/>
          </w:tcPr>
          <w:p w:rsidR="000E5C84" w:rsidRDefault="000E5C84">
            <w:bookmarkStart w:id="0" w:name="_GoBack"/>
            <w:bookmarkEnd w:id="0"/>
          </w:p>
        </w:tc>
        <w:tc>
          <w:tcPr>
            <w:tcW w:w="10374" w:type="dxa"/>
            <w:gridSpan w:val="6"/>
            <w:tcBorders>
              <w:bottom w:val="double" w:sz="5" w:space="0" w:color="000000"/>
            </w:tcBorders>
            <w:shd w:val="clear" w:color="auto" w:fill="auto"/>
            <w:vAlign w:val="bottom"/>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ОТЧЕТНОСТЬ ФЕДЕРАЛЬНОЙ НАЛОГОВОЙ СЛУЖБЫ</w:t>
            </w:r>
          </w:p>
        </w:tc>
        <w:tc>
          <w:tcPr>
            <w:tcW w:w="114" w:type="dxa"/>
          </w:tcPr>
          <w:p w:rsidR="000E5C84" w:rsidRDefault="000E5C84"/>
        </w:tc>
      </w:tr>
      <w:tr w:rsidR="000E5C84">
        <w:trPr>
          <w:trHeight w:hRule="exact" w:val="229"/>
        </w:trPr>
        <w:tc>
          <w:tcPr>
            <w:tcW w:w="229" w:type="dxa"/>
          </w:tcPr>
          <w:p w:rsidR="000E5C84" w:rsidRDefault="000E5C84"/>
        </w:tc>
        <w:tc>
          <w:tcPr>
            <w:tcW w:w="10374" w:type="dxa"/>
            <w:gridSpan w:val="6"/>
            <w:tcBorders>
              <w:top w:val="double" w:sz="5" w:space="0" w:color="000000"/>
              <w:bottom w:val="single" w:sz="5" w:space="0" w:color="000000"/>
            </w:tcBorders>
          </w:tcPr>
          <w:p w:rsidR="000E5C84" w:rsidRDefault="000E5C84"/>
        </w:tc>
        <w:tc>
          <w:tcPr>
            <w:tcW w:w="114" w:type="dxa"/>
          </w:tcPr>
          <w:p w:rsidR="000E5C84" w:rsidRDefault="000E5C84"/>
        </w:tc>
      </w:tr>
      <w:tr w:rsidR="000E5C84">
        <w:trPr>
          <w:trHeight w:hRule="exact" w:val="1247"/>
        </w:trPr>
        <w:tc>
          <w:tcPr>
            <w:tcW w:w="229" w:type="dxa"/>
            <w:tcBorders>
              <w:right w:val="single" w:sz="5" w:space="0" w:color="000000"/>
            </w:tcBorders>
          </w:tcPr>
          <w:p w:rsidR="000E5C84" w:rsidRDefault="000E5C84"/>
        </w:tc>
        <w:tc>
          <w:tcPr>
            <w:tcW w:w="10374"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ОТЧЕТ</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О НАЛОГОВОЙ БАЗЕ И СТРУКТУРЕ НАЧИСЛЕНИЙ ПО АКЦИЗАМ НА НЕФТЕПРОДУКТЫ</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за 2021 год</w:t>
            </w:r>
          </w:p>
        </w:tc>
        <w:tc>
          <w:tcPr>
            <w:tcW w:w="114" w:type="dxa"/>
            <w:tcBorders>
              <w:left w:val="single" w:sz="5" w:space="0" w:color="000000"/>
            </w:tcBorders>
          </w:tcPr>
          <w:p w:rsidR="000E5C84" w:rsidRDefault="000E5C84"/>
        </w:tc>
      </w:tr>
      <w:tr w:rsidR="000E5C84">
        <w:trPr>
          <w:trHeight w:hRule="exact" w:val="115"/>
        </w:trPr>
        <w:tc>
          <w:tcPr>
            <w:tcW w:w="229" w:type="dxa"/>
          </w:tcPr>
          <w:p w:rsidR="000E5C84" w:rsidRDefault="000E5C84"/>
        </w:tc>
        <w:tc>
          <w:tcPr>
            <w:tcW w:w="8010" w:type="dxa"/>
            <w:gridSpan w:val="3"/>
            <w:tcBorders>
              <w:top w:val="single" w:sz="5" w:space="0" w:color="000000"/>
              <w:bottom w:val="single" w:sz="5" w:space="0" w:color="000000"/>
            </w:tcBorders>
          </w:tcPr>
          <w:p w:rsidR="000E5C84" w:rsidRDefault="000E5C84"/>
        </w:tc>
        <w:tc>
          <w:tcPr>
            <w:tcW w:w="114" w:type="dxa"/>
            <w:tcBorders>
              <w:top w:val="single" w:sz="5" w:space="0" w:color="000000"/>
            </w:tcBorders>
          </w:tcPr>
          <w:p w:rsidR="000E5C84" w:rsidRDefault="000E5C84"/>
        </w:tc>
        <w:tc>
          <w:tcPr>
            <w:tcW w:w="2250" w:type="dxa"/>
            <w:gridSpan w:val="2"/>
            <w:tcBorders>
              <w:top w:val="single" w:sz="5" w:space="0" w:color="000000"/>
              <w:bottom w:val="single" w:sz="5" w:space="0" w:color="000000"/>
            </w:tcBorders>
          </w:tcPr>
          <w:p w:rsidR="000E5C84" w:rsidRDefault="000E5C84"/>
        </w:tc>
        <w:tc>
          <w:tcPr>
            <w:tcW w:w="114" w:type="dxa"/>
          </w:tcPr>
          <w:p w:rsidR="000E5C84" w:rsidRDefault="000E5C84"/>
        </w:tc>
      </w:tr>
      <w:tr w:rsidR="000E5C84">
        <w:trPr>
          <w:trHeight w:hRule="exact" w:val="1017"/>
        </w:trPr>
        <w:tc>
          <w:tcPr>
            <w:tcW w:w="229" w:type="dxa"/>
            <w:tcBorders>
              <w:right w:val="single" w:sz="5" w:space="0" w:color="000000"/>
            </w:tcBorders>
          </w:tcPr>
          <w:p w:rsidR="000E5C84" w:rsidRDefault="000E5C84"/>
        </w:tc>
        <w:tc>
          <w:tcPr>
            <w:tcW w:w="361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Представляется (утверждается):</w:t>
            </w:r>
          </w:p>
        </w:tc>
        <w:tc>
          <w:tcPr>
            <w:tcW w:w="439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Сроки представления (утверждения)</w:t>
            </w:r>
          </w:p>
        </w:tc>
        <w:tc>
          <w:tcPr>
            <w:tcW w:w="114" w:type="dxa"/>
            <w:tcBorders>
              <w:left w:val="single" w:sz="5" w:space="0" w:color="000000"/>
              <w:right w:val="single" w:sz="5" w:space="0" w:color="000000"/>
            </w:tcBorders>
          </w:tcPr>
          <w:p w:rsidR="000E5C84" w:rsidRDefault="000E5C84"/>
        </w:tc>
        <w:tc>
          <w:tcPr>
            <w:tcW w:w="1691" w:type="dxa"/>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формы</w:t>
            </w:r>
          </w:p>
        </w:tc>
        <w:tc>
          <w:tcPr>
            <w:tcW w:w="559" w:type="dxa"/>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5NP</w:t>
            </w:r>
          </w:p>
        </w:tc>
        <w:tc>
          <w:tcPr>
            <w:tcW w:w="114" w:type="dxa"/>
            <w:tcBorders>
              <w:left w:val="single" w:sz="5" w:space="0" w:color="000000"/>
            </w:tcBorders>
          </w:tcPr>
          <w:p w:rsidR="000E5C84" w:rsidRDefault="000E5C84"/>
        </w:tc>
      </w:tr>
      <w:tr w:rsidR="000E5C84">
        <w:trPr>
          <w:trHeight w:hRule="exact" w:val="2865"/>
        </w:trPr>
        <w:tc>
          <w:tcPr>
            <w:tcW w:w="229" w:type="dxa"/>
            <w:tcBorders>
              <w:right w:val="single" w:sz="5" w:space="0" w:color="000000"/>
            </w:tcBorders>
          </w:tcPr>
          <w:p w:rsidR="000E5C84" w:rsidRDefault="000E5C84"/>
        </w:tc>
        <w:tc>
          <w:tcPr>
            <w:tcW w:w="3611" w:type="dxa"/>
            <w:vMerge w:val="restart"/>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Управлениями ФНС России по субъектам Российской Федерации - Федеральной налоговой службе;</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xml:space="preserve">Межрегиональными инспекциями ФНС России по крупнейшим налогоплательщикам – в Управления ФНС России по соответствующим субъектам Российской Федерации </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Межрайонными инспекциями ФНС России по крупнейшим налогоплательщикам – в межрегиональные инспекции ФНС России по крупнейшим налогоплательщикам</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Управлениями ФНС России по субъектам Российской Федерации финансовым органам субъекта Российской Федерации</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Инспекциями ФНС России - органам местного самоуправления</w:t>
            </w:r>
          </w:p>
        </w:tc>
        <w:tc>
          <w:tcPr>
            <w:tcW w:w="4399"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Раздел 5 и подраздел 5.1 - представляется ежемесячно до 25 числа месяца, следующего за отчетным;</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xml:space="preserve">за 1 полугодие - не позднее 21.09.2021; </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xml:space="preserve">за 2021 год - не позднее: </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22.03.2022;</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06.07.2022.</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на 2 рабочих дня ранее срока, установленного для УФНС России по субъектам Российской Федерации</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на 4 рабочих дней ранее срока, установленного для УФНС России по субъектам Российской Федерации</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не позднее 28.07.2022</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не позднее 28.07.2022</w:t>
            </w:r>
          </w:p>
        </w:tc>
        <w:tc>
          <w:tcPr>
            <w:tcW w:w="114" w:type="dxa"/>
            <w:tcBorders>
              <w:left w:val="single" w:sz="5" w:space="0" w:color="000000"/>
              <w:right w:val="single" w:sz="5" w:space="0" w:color="000000"/>
            </w:tcBorders>
          </w:tcPr>
          <w:p w:rsidR="000E5C84" w:rsidRDefault="000E5C84"/>
        </w:tc>
        <w:tc>
          <w:tcPr>
            <w:tcW w:w="2250" w:type="dxa"/>
            <w:gridSpan w:val="2"/>
            <w:vMerge w:val="restart"/>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Форма № 5-НП</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xml:space="preserve">Утверждена </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приказом ФНС России</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от 30.12.2020</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ВД-7-1/986@</w:t>
            </w:r>
          </w:p>
          <w:p w:rsidR="000E5C84" w:rsidRDefault="000E5C84">
            <w:pPr>
              <w:spacing w:line="230" w:lineRule="auto"/>
              <w:rPr>
                <w:rFonts w:ascii="Times New Roman" w:eastAsia="Times New Roman" w:hAnsi="Times New Roman" w:cs="Times New Roman"/>
                <w:b/>
                <w:color w:val="000000"/>
                <w:spacing w:val="-2"/>
                <w:sz w:val="20"/>
              </w:rPr>
            </w:pP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В редакции приказа</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ФНС России</w:t>
            </w: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от 30.12.2021</w:t>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СД-7-1/1197@</w:t>
            </w: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ab/>
            </w:r>
          </w:p>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Представляется два раза в год</w:t>
            </w:r>
          </w:p>
        </w:tc>
        <w:tc>
          <w:tcPr>
            <w:tcW w:w="114" w:type="dxa"/>
            <w:tcBorders>
              <w:left w:val="single" w:sz="5" w:space="0" w:color="000000"/>
            </w:tcBorders>
          </w:tcPr>
          <w:p w:rsidR="000E5C84" w:rsidRDefault="000E5C84"/>
        </w:tc>
      </w:tr>
      <w:tr w:rsidR="000E5C84">
        <w:trPr>
          <w:trHeight w:hRule="exact" w:val="2522"/>
        </w:trPr>
        <w:tc>
          <w:tcPr>
            <w:tcW w:w="229" w:type="dxa"/>
            <w:tcBorders>
              <w:right w:val="single" w:sz="5" w:space="0" w:color="000000"/>
            </w:tcBorders>
          </w:tcPr>
          <w:p w:rsidR="000E5C84" w:rsidRDefault="000E5C84"/>
        </w:tc>
        <w:tc>
          <w:tcPr>
            <w:tcW w:w="3611" w:type="dxa"/>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439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114" w:type="dxa"/>
            <w:tcBorders>
              <w:left w:val="single" w:sz="5" w:space="0" w:color="000000"/>
              <w:right w:val="single" w:sz="5" w:space="0" w:color="000000"/>
            </w:tcBorders>
          </w:tcPr>
          <w:p w:rsidR="000E5C84" w:rsidRDefault="000E5C84"/>
        </w:tc>
        <w:tc>
          <w:tcPr>
            <w:tcW w:w="2250"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114" w:type="dxa"/>
            <w:tcBorders>
              <w:left w:val="single" w:sz="5" w:space="0" w:color="000000"/>
            </w:tcBorders>
          </w:tcPr>
          <w:p w:rsidR="000E5C84" w:rsidRDefault="000E5C84"/>
        </w:tc>
      </w:tr>
      <w:tr w:rsidR="000E5C84">
        <w:trPr>
          <w:trHeight w:hRule="exact" w:val="2508"/>
        </w:trPr>
        <w:tc>
          <w:tcPr>
            <w:tcW w:w="229" w:type="dxa"/>
            <w:tcBorders>
              <w:right w:val="single" w:sz="5" w:space="0" w:color="000000"/>
            </w:tcBorders>
          </w:tcPr>
          <w:p w:rsidR="000E5C84" w:rsidRDefault="000E5C84"/>
        </w:tc>
        <w:tc>
          <w:tcPr>
            <w:tcW w:w="3611" w:type="dxa"/>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4399"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114" w:type="dxa"/>
            <w:tcBorders>
              <w:left w:val="single" w:sz="5" w:space="0" w:color="000000"/>
              <w:right w:val="single" w:sz="5" w:space="0" w:color="000000"/>
            </w:tcBorders>
          </w:tcPr>
          <w:p w:rsidR="000E5C84" w:rsidRDefault="000E5C84"/>
        </w:tc>
        <w:tc>
          <w:tcPr>
            <w:tcW w:w="2250" w:type="dxa"/>
            <w:gridSpan w:val="2"/>
            <w:vMerge/>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tc>
        <w:tc>
          <w:tcPr>
            <w:tcW w:w="114" w:type="dxa"/>
            <w:tcBorders>
              <w:left w:val="single" w:sz="5" w:space="0" w:color="000000"/>
            </w:tcBorders>
          </w:tcPr>
          <w:p w:rsidR="000E5C84" w:rsidRDefault="000E5C84"/>
        </w:tc>
      </w:tr>
      <w:tr w:rsidR="000E5C84">
        <w:trPr>
          <w:trHeight w:hRule="exact" w:val="229"/>
        </w:trPr>
        <w:tc>
          <w:tcPr>
            <w:tcW w:w="229" w:type="dxa"/>
          </w:tcPr>
          <w:p w:rsidR="000E5C84" w:rsidRDefault="000E5C84"/>
        </w:tc>
        <w:tc>
          <w:tcPr>
            <w:tcW w:w="8010" w:type="dxa"/>
            <w:gridSpan w:val="3"/>
            <w:tcBorders>
              <w:top w:val="single" w:sz="5" w:space="0" w:color="000000"/>
              <w:bottom w:val="single" w:sz="5" w:space="0" w:color="000000"/>
            </w:tcBorders>
          </w:tcPr>
          <w:p w:rsidR="000E5C84" w:rsidRDefault="000E5C84"/>
        </w:tc>
        <w:tc>
          <w:tcPr>
            <w:tcW w:w="114" w:type="dxa"/>
            <w:tcBorders>
              <w:bottom w:val="single" w:sz="5" w:space="0" w:color="000000"/>
            </w:tcBorders>
          </w:tcPr>
          <w:p w:rsidR="000E5C84" w:rsidRDefault="000E5C84"/>
        </w:tc>
        <w:tc>
          <w:tcPr>
            <w:tcW w:w="2250" w:type="dxa"/>
            <w:gridSpan w:val="2"/>
            <w:tcBorders>
              <w:top w:val="single" w:sz="5" w:space="0" w:color="000000"/>
              <w:bottom w:val="single" w:sz="5" w:space="0" w:color="000000"/>
            </w:tcBorders>
          </w:tcPr>
          <w:p w:rsidR="000E5C84" w:rsidRDefault="000E5C84"/>
        </w:tc>
        <w:tc>
          <w:tcPr>
            <w:tcW w:w="114" w:type="dxa"/>
          </w:tcPr>
          <w:p w:rsidR="000E5C84" w:rsidRDefault="000E5C84"/>
        </w:tc>
      </w:tr>
      <w:tr w:rsidR="000E5C84">
        <w:trPr>
          <w:trHeight w:hRule="exact" w:val="559"/>
        </w:trPr>
        <w:tc>
          <w:tcPr>
            <w:tcW w:w="229" w:type="dxa"/>
            <w:tcBorders>
              <w:right w:val="single" w:sz="5" w:space="0" w:color="000000"/>
            </w:tcBorders>
          </w:tcPr>
          <w:p w:rsidR="000E5C84" w:rsidRDefault="000E5C84"/>
        </w:tc>
        <w:tc>
          <w:tcPr>
            <w:tcW w:w="3611"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0E5C84">
            <w:pPr>
              <w:spacing w:line="230" w:lineRule="auto"/>
              <w:rPr>
                <w:rFonts w:ascii="Times New Roman" w:eastAsia="Times New Roman" w:hAnsi="Times New Roman" w:cs="Times New Roman"/>
                <w:b/>
                <w:color w:val="000000"/>
                <w:spacing w:val="-2"/>
                <w:sz w:val="20"/>
              </w:rPr>
            </w:pPr>
          </w:p>
        </w:tc>
        <w:tc>
          <w:tcPr>
            <w:tcW w:w="1347" w:type="dxa"/>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w:t>
            </w:r>
          </w:p>
        </w:tc>
        <w:tc>
          <w:tcPr>
            <w:tcW w:w="5416" w:type="dxa"/>
            <w:gridSpan w:val="4"/>
            <w:tcBorders>
              <w:top w:val="single" w:sz="5" w:space="0" w:color="000000"/>
              <w:left w:val="single" w:sz="5" w:space="0" w:color="000000"/>
              <w:bottom w:val="single" w:sz="5" w:space="0" w:color="000000"/>
              <w:right w:val="single" w:sz="5" w:space="0" w:color="000000"/>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Наименование</w:t>
            </w:r>
          </w:p>
        </w:tc>
        <w:tc>
          <w:tcPr>
            <w:tcW w:w="114" w:type="dxa"/>
            <w:tcBorders>
              <w:left w:val="single" w:sz="5" w:space="0" w:color="000000"/>
            </w:tcBorders>
          </w:tcPr>
          <w:p w:rsidR="000E5C84" w:rsidRDefault="000E5C84"/>
        </w:tc>
      </w:tr>
      <w:tr w:rsidR="000E5C84">
        <w:trPr>
          <w:trHeight w:hRule="exact" w:val="902"/>
        </w:trPr>
        <w:tc>
          <w:tcPr>
            <w:tcW w:w="229" w:type="dxa"/>
            <w:tcBorders>
              <w:right w:val="single" w:sz="5" w:space="0" w:color="000000"/>
            </w:tcBorders>
          </w:tcPr>
          <w:p w:rsidR="000E5C84" w:rsidRDefault="000E5C84"/>
        </w:tc>
        <w:tc>
          <w:tcPr>
            <w:tcW w:w="3611"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Республика, край, область, автономное образование, город</w:t>
            </w:r>
          </w:p>
        </w:tc>
        <w:tc>
          <w:tcPr>
            <w:tcW w:w="1347"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01</w:t>
            </w:r>
          </w:p>
        </w:tc>
        <w:tc>
          <w:tcPr>
            <w:tcW w:w="5416" w:type="dxa"/>
            <w:gridSpan w:val="4"/>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Республика Адыгея (Адыгея)</w:t>
            </w:r>
          </w:p>
        </w:tc>
        <w:tc>
          <w:tcPr>
            <w:tcW w:w="114" w:type="dxa"/>
            <w:tcBorders>
              <w:left w:val="single" w:sz="5" w:space="0" w:color="000000"/>
            </w:tcBorders>
          </w:tcPr>
          <w:p w:rsidR="000E5C84" w:rsidRDefault="000E5C84"/>
        </w:tc>
      </w:tr>
      <w:tr w:rsidR="000E5C84">
        <w:trPr>
          <w:trHeight w:hRule="exact" w:val="903"/>
        </w:trPr>
        <w:tc>
          <w:tcPr>
            <w:tcW w:w="229" w:type="dxa"/>
            <w:tcBorders>
              <w:right w:val="single" w:sz="5" w:space="0" w:color="000000"/>
            </w:tcBorders>
          </w:tcPr>
          <w:p w:rsidR="000E5C84" w:rsidRDefault="000E5C84"/>
        </w:tc>
        <w:tc>
          <w:tcPr>
            <w:tcW w:w="3611"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Налоговый орган</w:t>
            </w:r>
          </w:p>
        </w:tc>
        <w:tc>
          <w:tcPr>
            <w:tcW w:w="1347"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0100</w:t>
            </w:r>
          </w:p>
        </w:tc>
        <w:tc>
          <w:tcPr>
            <w:tcW w:w="5416" w:type="dxa"/>
            <w:gridSpan w:val="4"/>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УФНС России по Республике Адыгея</w:t>
            </w:r>
          </w:p>
        </w:tc>
        <w:tc>
          <w:tcPr>
            <w:tcW w:w="114" w:type="dxa"/>
            <w:tcBorders>
              <w:left w:val="single" w:sz="5" w:space="0" w:color="000000"/>
            </w:tcBorders>
          </w:tcPr>
          <w:p w:rsidR="000E5C84" w:rsidRDefault="000E5C84"/>
        </w:tc>
      </w:tr>
      <w:tr w:rsidR="000E5C84">
        <w:trPr>
          <w:trHeight w:hRule="exact" w:val="1691"/>
        </w:trPr>
        <w:tc>
          <w:tcPr>
            <w:tcW w:w="229" w:type="dxa"/>
            <w:tcBorders>
              <w:right w:val="single" w:sz="5" w:space="0" w:color="000000"/>
            </w:tcBorders>
          </w:tcPr>
          <w:p w:rsidR="000E5C84" w:rsidRDefault="000E5C84"/>
        </w:tc>
        <w:tc>
          <w:tcPr>
            <w:tcW w:w="3611"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Муниципальное образование</w:t>
            </w:r>
          </w:p>
        </w:tc>
        <w:tc>
          <w:tcPr>
            <w:tcW w:w="1347" w:type="dxa"/>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79630159</w:t>
            </w:r>
          </w:p>
        </w:tc>
        <w:tc>
          <w:tcPr>
            <w:tcW w:w="5416" w:type="dxa"/>
            <w:gridSpan w:val="4"/>
            <w:tcBorders>
              <w:top w:val="single" w:sz="5" w:space="0" w:color="000000"/>
              <w:left w:val="single" w:sz="5" w:space="0" w:color="000000"/>
              <w:bottom w:val="single" w:sz="5" w:space="0" w:color="000000"/>
              <w:right w:val="single" w:sz="5" w:space="0" w:color="000000"/>
            </w:tcBorders>
            <w:shd w:val="clear" w:color="auto" w:fill="auto"/>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Яблоновское городское поселение</w:t>
            </w:r>
          </w:p>
        </w:tc>
        <w:tc>
          <w:tcPr>
            <w:tcW w:w="114" w:type="dxa"/>
            <w:tcBorders>
              <w:left w:val="single" w:sz="5" w:space="0" w:color="000000"/>
            </w:tcBorders>
          </w:tcPr>
          <w:p w:rsidR="000E5C84" w:rsidRDefault="000E5C84"/>
        </w:tc>
      </w:tr>
      <w:tr w:rsidR="000E5C84">
        <w:trPr>
          <w:trHeight w:hRule="exact" w:val="114"/>
        </w:trPr>
        <w:tc>
          <w:tcPr>
            <w:tcW w:w="229" w:type="dxa"/>
          </w:tcPr>
          <w:p w:rsidR="000E5C84" w:rsidRDefault="000E5C84"/>
        </w:tc>
        <w:tc>
          <w:tcPr>
            <w:tcW w:w="10374" w:type="dxa"/>
            <w:gridSpan w:val="6"/>
            <w:tcBorders>
              <w:top w:val="single" w:sz="5" w:space="0" w:color="000000"/>
            </w:tcBorders>
          </w:tcPr>
          <w:p w:rsidR="000E5C84" w:rsidRDefault="000E5C84"/>
        </w:tc>
        <w:tc>
          <w:tcPr>
            <w:tcW w:w="114" w:type="dxa"/>
          </w:tcPr>
          <w:p w:rsidR="000E5C84" w:rsidRDefault="000E5C84"/>
        </w:tc>
      </w:tr>
      <w:tr w:rsidR="000E5C84">
        <w:trPr>
          <w:trHeight w:hRule="exact" w:val="115"/>
        </w:trPr>
        <w:tc>
          <w:tcPr>
            <w:tcW w:w="229" w:type="dxa"/>
          </w:tcPr>
          <w:p w:rsidR="000E5C84" w:rsidRDefault="000E5C84"/>
        </w:tc>
        <w:tc>
          <w:tcPr>
            <w:tcW w:w="10374" w:type="dxa"/>
            <w:gridSpan w:val="6"/>
            <w:tcBorders>
              <w:bottom w:val="double" w:sz="5" w:space="0" w:color="000000"/>
            </w:tcBorders>
            <w:shd w:val="clear" w:color="auto" w:fill="auto"/>
            <w:vAlign w:val="bottom"/>
          </w:tcPr>
          <w:p w:rsidR="000E5C84" w:rsidRDefault="000E5C84">
            <w:pPr>
              <w:spacing w:line="230" w:lineRule="auto"/>
              <w:jc w:val="center"/>
              <w:rPr>
                <w:rFonts w:ascii="Times New Roman" w:eastAsia="Times New Roman" w:hAnsi="Times New Roman" w:cs="Times New Roman"/>
                <w:b/>
                <w:color w:val="000000"/>
                <w:spacing w:val="-2"/>
                <w:sz w:val="20"/>
              </w:rPr>
            </w:pPr>
          </w:p>
        </w:tc>
        <w:tc>
          <w:tcPr>
            <w:tcW w:w="114" w:type="dxa"/>
          </w:tcPr>
          <w:p w:rsidR="000E5C84" w:rsidRDefault="000E5C84"/>
        </w:tc>
      </w:tr>
    </w:tbl>
    <w:p w:rsidR="000E5C84" w:rsidRDefault="000E5C84">
      <w:pPr>
        <w:sectPr w:rsidR="000E5C84">
          <w:pgSz w:w="11906" w:h="16838"/>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4399"/>
        <w:gridCol w:w="788"/>
        <w:gridCol w:w="2708"/>
        <w:gridCol w:w="2708"/>
        <w:gridCol w:w="2378"/>
        <w:gridCol w:w="2651"/>
      </w:tblGrid>
      <w:tr w:rsidR="000E5C84">
        <w:trPr>
          <w:trHeight w:hRule="exact" w:val="788"/>
        </w:trPr>
        <w:tc>
          <w:tcPr>
            <w:tcW w:w="15632" w:type="dxa"/>
            <w:gridSpan w:val="6"/>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Раздел 1</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Акцизы на дизельное топливо (630) и прямогонный бензин (650)</w:t>
            </w:r>
          </w:p>
        </w:tc>
      </w:tr>
      <w:tr w:rsidR="000E5C84">
        <w:trPr>
          <w:trHeight w:hRule="exact" w:val="229"/>
        </w:trPr>
        <w:tc>
          <w:tcPr>
            <w:tcW w:w="15632" w:type="dxa"/>
            <w:gridSpan w:val="6"/>
            <w:tcBorders>
              <w:bottom w:val="single" w:sz="5" w:space="0" w:color="696969"/>
            </w:tcBorders>
          </w:tcPr>
          <w:p w:rsidR="000E5C84" w:rsidRDefault="000E5C84"/>
        </w:tc>
      </w:tr>
      <w:tr w:rsidR="000E5C84">
        <w:trPr>
          <w:trHeight w:hRule="exact" w:val="444"/>
        </w:trPr>
        <w:tc>
          <w:tcPr>
            <w:tcW w:w="4399"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Показатели</w:t>
            </w:r>
          </w:p>
        </w:tc>
        <w:tc>
          <w:tcPr>
            <w:tcW w:w="788"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строки</w:t>
            </w:r>
          </w:p>
        </w:tc>
        <w:tc>
          <w:tcPr>
            <w:tcW w:w="5416"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Дизельное топливо (630)</w:t>
            </w:r>
          </w:p>
        </w:tc>
        <w:tc>
          <w:tcPr>
            <w:tcW w:w="5029"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Прямогонный бензин (650)</w:t>
            </w:r>
          </w:p>
        </w:tc>
      </w:tr>
      <w:tr w:rsidR="000E5C84">
        <w:trPr>
          <w:trHeight w:hRule="exact" w:val="1018"/>
        </w:trPr>
        <w:tc>
          <w:tcPr>
            <w:tcW w:w="439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788"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w:t>
            </w:r>
          </w:p>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(тыс.руб.)</w:t>
            </w:r>
          </w:p>
        </w:tc>
        <w:tc>
          <w:tcPr>
            <w:tcW w:w="237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265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w:t>
            </w:r>
          </w:p>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(тыс.руб.)</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w:t>
            </w:r>
          </w:p>
        </w:tc>
        <w:tc>
          <w:tcPr>
            <w:tcW w:w="78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Б</w:t>
            </w:r>
          </w:p>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w:t>
            </w:r>
          </w:p>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2</w:t>
            </w:r>
          </w:p>
        </w:tc>
        <w:tc>
          <w:tcPr>
            <w:tcW w:w="237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3</w:t>
            </w:r>
          </w:p>
        </w:tc>
        <w:tc>
          <w:tcPr>
            <w:tcW w:w="265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4</w:t>
            </w:r>
          </w:p>
        </w:tc>
      </w:tr>
      <w:tr w:rsidR="000E5C84">
        <w:trPr>
          <w:trHeight w:hRule="exact" w:val="558"/>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Операции, подлежащие налогообложению акцизами (за исключением экспорта)</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100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них:</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1003"/>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 получение (приобретение в собственность) прямогонного бензина организацией, имеющей свидетельство на переработку прямогонного бензина (пп. 21 п. 1 ст. 182 НК РФ) </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110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662"/>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оприходование прямогонного бензина лицом, имеющим свидетельство на переработку прямогонного бензина, произведенного в результате оказания указанному лицу услуг по переработке сырья (материалов), принадлежащего ему на праве собственности (пп.23 п.1 ст.182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115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47"/>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оприходование прямогонного бензина в структуре лица, имеющего свидетельство на переработку прямогонного бензина, произведенного в указанной структуре из сырья (материалов), принадлежащего указанному лицу на праве собственности (пп.24 п.1 ст.182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120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30"/>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подлежащая вычету</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125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нее:</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1662"/>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производство прямогонного бензина, при реализации прямогонного бензина налогоплательщику, имеющему свидетельство на переработку прямогонного бензина (п. 13 ст. 200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130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47"/>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lastRenderedPageBreak/>
              <w:t>- сумма акциза, исчисленная налогоплательщиком, имеющим свидетельство на производство прямогонного бензина, при совершении с прямогонным бензином операций, указанных в пп.7 и 12 п.1 ст.182 НК РФ (п. 14 ст. 200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135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2321"/>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переработку прямогонного бензина, при совершении операций, указанных в пп.21,23,24 п.1 ст.182 НК РФ, в случае использования полученного (оприходованного) прямогонного бензина для производства продукции нефтехимии, отвечающей требованиям, установленным в абзаце втором п.15 ст. 200 НК (п.15 ст.200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145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2536"/>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переработку прямогонного бензина, при совершении операций, указанных в пп.21 п.1 ст.182 НК РФ, в случае использования полученного прямогонного бензина для производства продукции нефтехимии, не отвечающей требованиям, установленным в абзаце втором п. 15 ст. 200 НК РФ или для производства бензола, параксилола, ортоксилола (п.15 ст.200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150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2321"/>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переработку прямогонного бензина, при совершении операций, указанных в пп.23,24 п.1 ст.182 НК, в случае использования оприходованного прямогонного бензина не для производства продукции нефтехимии, отвечающей требованиям, установленным в абзаце втором п.15 ст.200 НК РФ и (или) его выбытия (п.15 ст.200 НК РФ)</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155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2321"/>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lastRenderedPageBreak/>
              <w:t>Реализация подакцизных товаров, помещенных под таможенную процедуру экспорта, за пределы территории Российской Федерации при отсутствии банковской гарантии (договора поручительства), и реализация подакцизных товаров на территорию государств - членов ЕАЭС, по которой в установленный срок не представлены документы, подтверждающие факт экспорта</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160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1003"/>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предъявленная к возмещению, по нефтепродуктам, факт экспорта которых (в том числе в государства – члены ЕАЭС) документально подтвержден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165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1218"/>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Реализация нефтепродуктов, помещенных под таможенную процедуру экспорта за пределы территории Российской Федерации, а также реализация подакцизных товаров на территорию государств - членов ЕАЭС</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166</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2321"/>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Реализация подакцизных товаров, помещенных под таможенную процедуру реэкспорта, за пределы территории Российской Федерации при отсутствии банковской гарантии (договора поручительства), а также реализация подакцизных товаров за пределы территории Российской Федерации, по которой в установленный срок не представлены документы, подтверждающие факт реэкспорта</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170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788"/>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предъявленная к возмещению, по нефтепродуктам, факт реэкспорта которых  документально подтвержден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175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77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Ввоз подакцизных товаров на территорию Российской Федерации с территории государств-членов ЕАЭС</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176</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 том числе:</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Беларусь</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177</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29"/>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Казахстан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178</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Армения</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179</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Киргизской Республики</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180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30"/>
        </w:trPr>
        <w:tc>
          <w:tcPr>
            <w:tcW w:w="439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Контрольная сумма</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190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37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65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bl>
    <w:p w:rsidR="000E5C84" w:rsidRDefault="000E5C84">
      <w:pPr>
        <w:sectPr w:rsidR="000E5C84">
          <w:pgSz w:w="16838" w:h="11906" w:orient="landscape"/>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3152"/>
        <w:gridCol w:w="903"/>
        <w:gridCol w:w="1920"/>
        <w:gridCol w:w="1920"/>
        <w:gridCol w:w="1920"/>
        <w:gridCol w:w="1920"/>
        <w:gridCol w:w="1920"/>
        <w:gridCol w:w="1977"/>
      </w:tblGrid>
      <w:tr w:rsidR="000E5C84">
        <w:trPr>
          <w:trHeight w:hRule="exact" w:val="903"/>
        </w:trPr>
        <w:tc>
          <w:tcPr>
            <w:tcW w:w="15632" w:type="dxa"/>
            <w:gridSpan w:val="8"/>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Раздел 2</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 xml:space="preserve">Акцизы на моторные масла для дизельных и (или) карбюраторных (инжекторных) двигателей (640), </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автомобильный бензин класса 5 (665) и автомобильный бензин, не соответствующий классу 5 (676)</w:t>
            </w:r>
          </w:p>
        </w:tc>
      </w:tr>
      <w:tr w:rsidR="000E5C84">
        <w:trPr>
          <w:trHeight w:hRule="exact" w:val="114"/>
        </w:trPr>
        <w:tc>
          <w:tcPr>
            <w:tcW w:w="15632" w:type="dxa"/>
            <w:gridSpan w:val="8"/>
            <w:tcBorders>
              <w:bottom w:val="single" w:sz="5" w:space="0" w:color="696969"/>
            </w:tcBorders>
          </w:tcPr>
          <w:p w:rsidR="000E5C84" w:rsidRDefault="000E5C84"/>
        </w:tc>
      </w:tr>
      <w:tr w:rsidR="000E5C84">
        <w:trPr>
          <w:trHeight w:hRule="exact" w:val="1018"/>
        </w:trPr>
        <w:tc>
          <w:tcPr>
            <w:tcW w:w="3152"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Показатели</w:t>
            </w:r>
          </w:p>
        </w:tc>
        <w:tc>
          <w:tcPr>
            <w:tcW w:w="903"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строки</w:t>
            </w:r>
          </w:p>
        </w:tc>
        <w:tc>
          <w:tcPr>
            <w:tcW w:w="3840"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Моторные масла для дизельных и (или) карбюраторных (инжекторных) двигателей (640)</w:t>
            </w:r>
          </w:p>
        </w:tc>
        <w:tc>
          <w:tcPr>
            <w:tcW w:w="3840"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Автомобильный бензин класса 5 (665)</w:t>
            </w:r>
          </w:p>
        </w:tc>
        <w:tc>
          <w:tcPr>
            <w:tcW w:w="3897"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Автомобильный бензин, не соответствующий классу 5 (676)</w:t>
            </w:r>
          </w:p>
        </w:tc>
      </w:tr>
      <w:tr w:rsidR="000E5C84">
        <w:trPr>
          <w:trHeight w:hRule="exact" w:val="673"/>
        </w:trPr>
        <w:tc>
          <w:tcPr>
            <w:tcW w:w="315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903"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(тыс.руб.)</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(тыс.руб.)</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197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(тыс.руб.)</w:t>
            </w:r>
          </w:p>
        </w:tc>
      </w:tr>
      <w:tr w:rsidR="000E5C84">
        <w:trPr>
          <w:trHeight w:hRule="exact" w:val="344"/>
        </w:trPr>
        <w:tc>
          <w:tcPr>
            <w:tcW w:w="3152"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w:t>
            </w:r>
          </w:p>
        </w:tc>
        <w:tc>
          <w:tcPr>
            <w:tcW w:w="903"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Б</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2</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3</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4</w:t>
            </w:r>
          </w:p>
        </w:tc>
        <w:tc>
          <w:tcPr>
            <w:tcW w:w="19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5</w:t>
            </w:r>
          </w:p>
        </w:tc>
        <w:tc>
          <w:tcPr>
            <w:tcW w:w="197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6</w:t>
            </w:r>
          </w:p>
        </w:tc>
      </w:tr>
      <w:tr w:rsidR="000E5C84">
        <w:trPr>
          <w:trHeight w:hRule="exact" w:val="774"/>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Операции, подлежащие налогообложению акцизами (за исключением экспорта)</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200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3"/>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подлежащая вычету</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210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2322"/>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Реализация нефтепродуктов, помещенных под таможенную процедуру экспорта, при отсутствии банковской гарантии (договора поручительства) и реализация в государства – члены ЕАЭС, по которой в установленный срок не представлены документы, подтверждающие факт экспорта</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220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47"/>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предъявленная к возмещению, по нефтепродуктам, факт экспорта которых (в том числе в государства – члены ЕАЭС) документально подтвержден</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230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877"/>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Реализация нефтепродуктов, помещенных под таможенную процедуру экспорта за пределы территории Российской Федерации, а также реализация подакцизных товаров на территорию государств - членов ЕАЭС</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235</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90"/>
        </w:trPr>
        <w:tc>
          <w:tcPr>
            <w:tcW w:w="3152"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lastRenderedPageBreak/>
              <w:t>Реализация подакцизных товаров, помещенных под таможенную процедуру реэкспорта, за пределы территории Российской Федерации при отсутствии банковской гарантии (договора поручительства), а также реализация подакцизных товаров за пределы территории Российской Федерации, по которой в установленный срок не представлены документы, подтверждающие факт реэкспорта</w:t>
            </w:r>
          </w:p>
        </w:tc>
        <w:tc>
          <w:tcPr>
            <w:tcW w:w="903"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240</w:t>
            </w:r>
          </w:p>
        </w:tc>
        <w:tc>
          <w:tcPr>
            <w:tcW w:w="1920"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90"/>
        </w:trPr>
        <w:tc>
          <w:tcPr>
            <w:tcW w:w="315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903"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20"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97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r>
      <w:tr w:rsidR="000E5C84">
        <w:trPr>
          <w:trHeight w:hRule="exact" w:val="1003"/>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предъявленная к возмещению, по нефтепродуктам, факт реэкспорта которых  документально подтвержден</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003"/>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Ввоз подакцизных товаров на территорию Российской Федерации с территории государств-членов ЕАЭС</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251</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 том числе:</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329"/>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Беларусь</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252</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Казахстан</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253</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Республика Армения</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254</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30"/>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Киргизской Республики</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255</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3"/>
        </w:trPr>
        <w:tc>
          <w:tcPr>
            <w:tcW w:w="315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Контрольная сумма</w:t>
            </w:r>
          </w:p>
        </w:tc>
        <w:tc>
          <w:tcPr>
            <w:tcW w:w="90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290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19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197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bl>
    <w:p w:rsidR="000E5C84" w:rsidRDefault="000E5C84">
      <w:pPr>
        <w:sectPr w:rsidR="000E5C84">
          <w:pgSz w:w="16838" w:h="11906" w:orient="landscape"/>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2149"/>
        <w:gridCol w:w="559"/>
        <w:gridCol w:w="1347"/>
        <w:gridCol w:w="1361"/>
        <w:gridCol w:w="1347"/>
        <w:gridCol w:w="1361"/>
        <w:gridCol w:w="1247"/>
        <w:gridCol w:w="1232"/>
        <w:gridCol w:w="1246"/>
        <w:gridCol w:w="1232"/>
        <w:gridCol w:w="1247"/>
        <w:gridCol w:w="1304"/>
      </w:tblGrid>
      <w:tr w:rsidR="000E5C84">
        <w:trPr>
          <w:trHeight w:hRule="exact" w:val="673"/>
        </w:trPr>
        <w:tc>
          <w:tcPr>
            <w:tcW w:w="15632" w:type="dxa"/>
            <w:gridSpan w:val="12"/>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Раздел 3</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Акцизы на авиационный керосин (671), бензол (672), параксилол (673), ортоксилол (674) и природный газ (735)</w:t>
            </w:r>
          </w:p>
        </w:tc>
      </w:tr>
      <w:tr w:rsidR="000E5C84">
        <w:trPr>
          <w:trHeight w:hRule="exact" w:val="230"/>
        </w:trPr>
        <w:tc>
          <w:tcPr>
            <w:tcW w:w="15632" w:type="dxa"/>
            <w:gridSpan w:val="12"/>
            <w:tcBorders>
              <w:bottom w:val="single" w:sz="5" w:space="0" w:color="696969"/>
            </w:tcBorders>
          </w:tcPr>
          <w:p w:rsidR="000E5C84" w:rsidRDefault="000E5C84"/>
        </w:tc>
      </w:tr>
      <w:tr w:rsidR="000E5C84">
        <w:trPr>
          <w:trHeight w:hRule="exact" w:val="444"/>
        </w:trPr>
        <w:tc>
          <w:tcPr>
            <w:tcW w:w="2149"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Показатели</w:t>
            </w:r>
          </w:p>
        </w:tc>
        <w:tc>
          <w:tcPr>
            <w:tcW w:w="559"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Код строки</w:t>
            </w:r>
          </w:p>
        </w:tc>
        <w:tc>
          <w:tcPr>
            <w:tcW w:w="2708"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Авиационный керосин (671)</w:t>
            </w:r>
          </w:p>
        </w:tc>
        <w:tc>
          <w:tcPr>
            <w:tcW w:w="2708"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Бензол (672)</w:t>
            </w:r>
          </w:p>
        </w:tc>
        <w:tc>
          <w:tcPr>
            <w:tcW w:w="2479"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Параксилол (673)</w:t>
            </w:r>
          </w:p>
        </w:tc>
        <w:tc>
          <w:tcPr>
            <w:tcW w:w="2478"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Ортоксилол (674)</w:t>
            </w:r>
          </w:p>
        </w:tc>
        <w:tc>
          <w:tcPr>
            <w:tcW w:w="2551"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Природный газ (735)</w:t>
            </w:r>
          </w:p>
        </w:tc>
      </w:tr>
      <w:tr w:rsidR="000E5C84">
        <w:trPr>
          <w:trHeight w:hRule="exact" w:val="688"/>
        </w:trPr>
        <w:tc>
          <w:tcPr>
            <w:tcW w:w="214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55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 (тонн)</w:t>
            </w:r>
          </w:p>
        </w:tc>
        <w:tc>
          <w:tcPr>
            <w:tcW w:w="136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(тыс.руб.)</w:t>
            </w:r>
          </w:p>
        </w:tc>
        <w:tc>
          <w:tcPr>
            <w:tcW w:w="13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 (тонн)</w:t>
            </w:r>
          </w:p>
        </w:tc>
        <w:tc>
          <w:tcPr>
            <w:tcW w:w="136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(тыс.руб.)</w:t>
            </w:r>
          </w:p>
        </w:tc>
        <w:tc>
          <w:tcPr>
            <w:tcW w:w="12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 (тонн)</w:t>
            </w:r>
          </w:p>
        </w:tc>
        <w:tc>
          <w:tcPr>
            <w:tcW w:w="1232"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(тыс.руб.)</w:t>
            </w:r>
          </w:p>
        </w:tc>
        <w:tc>
          <w:tcPr>
            <w:tcW w:w="1246"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 (тонн)</w:t>
            </w:r>
          </w:p>
        </w:tc>
        <w:tc>
          <w:tcPr>
            <w:tcW w:w="1232"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(тыс.руб.)</w:t>
            </w:r>
          </w:p>
        </w:tc>
        <w:tc>
          <w:tcPr>
            <w:tcW w:w="12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Значение показателя (тыс.руб.)</w:t>
            </w:r>
          </w:p>
        </w:tc>
        <w:tc>
          <w:tcPr>
            <w:tcW w:w="1304"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(тыс.руб.)</w:t>
            </w:r>
          </w:p>
        </w:tc>
      </w:tr>
      <w:tr w:rsidR="000E5C84">
        <w:trPr>
          <w:trHeight w:hRule="exact" w:val="329"/>
        </w:trPr>
        <w:tc>
          <w:tcPr>
            <w:tcW w:w="2149"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А</w:t>
            </w:r>
          </w:p>
        </w:tc>
        <w:tc>
          <w:tcPr>
            <w:tcW w:w="559"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Б</w:t>
            </w:r>
          </w:p>
        </w:tc>
        <w:tc>
          <w:tcPr>
            <w:tcW w:w="13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1</w:t>
            </w:r>
          </w:p>
        </w:tc>
        <w:tc>
          <w:tcPr>
            <w:tcW w:w="136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2</w:t>
            </w:r>
          </w:p>
        </w:tc>
        <w:tc>
          <w:tcPr>
            <w:tcW w:w="13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3</w:t>
            </w:r>
          </w:p>
        </w:tc>
        <w:tc>
          <w:tcPr>
            <w:tcW w:w="136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4</w:t>
            </w:r>
          </w:p>
        </w:tc>
        <w:tc>
          <w:tcPr>
            <w:tcW w:w="12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5</w:t>
            </w:r>
          </w:p>
        </w:tc>
        <w:tc>
          <w:tcPr>
            <w:tcW w:w="1232"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6</w:t>
            </w:r>
          </w:p>
        </w:tc>
        <w:tc>
          <w:tcPr>
            <w:tcW w:w="1246"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7</w:t>
            </w:r>
          </w:p>
        </w:tc>
        <w:tc>
          <w:tcPr>
            <w:tcW w:w="1232"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8</w:t>
            </w:r>
          </w:p>
        </w:tc>
        <w:tc>
          <w:tcPr>
            <w:tcW w:w="1247"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9</w:t>
            </w:r>
          </w:p>
        </w:tc>
        <w:tc>
          <w:tcPr>
            <w:tcW w:w="1304"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10</w:t>
            </w:r>
          </w:p>
        </w:tc>
      </w:tr>
      <w:tr w:rsidR="000E5C84">
        <w:trPr>
          <w:trHeight w:hRule="exact" w:val="659"/>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Операции, подлежащие налогообложению акцизами</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300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B02A95">
            <w:pPr>
              <w:spacing w:line="230" w:lineRule="auto"/>
              <w:jc w:val="center"/>
              <w:rPr>
                <w:rFonts w:ascii="Times New Roman" w:eastAsia="Times New Roman" w:hAnsi="Times New Roman" w:cs="Times New Roman"/>
                <w:b/>
                <w:color w:val="000000"/>
                <w:spacing w:val="-2"/>
                <w:sz w:val="16"/>
              </w:rPr>
            </w:pPr>
            <w:r w:rsidRPr="00B02A95">
              <w:rPr>
                <w:rFonts w:ascii="Times New Roman" w:eastAsia="Times New Roman" w:hAnsi="Times New Roman" w:cs="Times New Roman"/>
                <w:b/>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B02A95">
            <w:pPr>
              <w:spacing w:line="230" w:lineRule="auto"/>
              <w:jc w:val="center"/>
              <w:rPr>
                <w:rFonts w:ascii="Times New Roman" w:eastAsia="Times New Roman" w:hAnsi="Times New Roman" w:cs="Times New Roman"/>
                <w:b/>
                <w:color w:val="000000"/>
                <w:spacing w:val="-2"/>
                <w:sz w:val="16"/>
              </w:rPr>
            </w:pPr>
            <w:r w:rsidRPr="00B02A95">
              <w:rPr>
                <w:rFonts w:ascii="Times New Roman" w:eastAsia="Times New Roman" w:hAnsi="Times New Roman" w:cs="Times New Roman"/>
                <w:b/>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r>
      <w:tr w:rsidR="000E5C84">
        <w:trPr>
          <w:trHeight w:hRule="exact" w:val="287"/>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из них:</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r>
      <w:tr w:rsidR="000E5C84">
        <w:trPr>
          <w:trHeight w:hRule="exact" w:val="1705"/>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получение (приобретение в собственность) бензола, параксилола, ортоксилола лицом, имеющим свидетельство на совершение операций с бензолом, параксилолом или ортоксилолом (пп. 25 п. 1 ст. 182 НК РФ)</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310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2579"/>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оприходование бензола, параксилола, ортоксилола лицом, имеющим свидетельство на совершение операций с бензолом, параксилолом или ортоксилолом, произведенных в результате оказания указанному лицу услуг по переработке сырья (материалов), принадлежащего ему на праве собственности (пп. 26 п. 1 ст.182 НК РФ)</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315</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2393"/>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оприходование бензола, параксилола, ортоксилола в структуре лица, имеющего свидетельство на совершение операций с бензолом, параксилолом или ортоксилолом, произведенных в указанной структуре из сырья (материалов), принадлежащего указанному лицу на праве собственности (пп. 27 п.1 ст.182 НК РФ)</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320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472"/>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Сумма акциза, подлежащая вычету</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330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B02A95">
            <w:pPr>
              <w:spacing w:line="230" w:lineRule="auto"/>
              <w:jc w:val="center"/>
              <w:rPr>
                <w:rFonts w:ascii="Times New Roman" w:eastAsia="Times New Roman" w:hAnsi="Times New Roman" w:cs="Times New Roman"/>
                <w:b/>
                <w:color w:val="000000"/>
                <w:spacing w:val="-2"/>
                <w:sz w:val="16"/>
              </w:rPr>
            </w:pPr>
            <w:r w:rsidRPr="00B02A95">
              <w:rPr>
                <w:rFonts w:ascii="Times New Roman" w:eastAsia="Times New Roman" w:hAnsi="Times New Roman" w:cs="Times New Roman"/>
                <w:b/>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r>
      <w:tr w:rsidR="000E5C84">
        <w:trPr>
          <w:trHeight w:hRule="exact" w:val="287"/>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из нее:</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16"/>
              </w:rPr>
            </w:pPr>
          </w:p>
        </w:tc>
      </w:tr>
      <w:tr w:rsidR="000E5C84">
        <w:trPr>
          <w:trHeight w:hRule="exact" w:val="1476"/>
        </w:trPr>
        <w:tc>
          <w:tcPr>
            <w:tcW w:w="2149"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 xml:space="preserve">- сумма акциза, начисленная налогоплательщиком, включенным в Реестр эксплуатантов гражданской авиации Российской Федерации и имеющим сертификат (свидетельство) эксплуатанта, при совершении операции, указанной в пп.28 п.1 ст.182 НК РФ, в случае использования полученного авиационного керосина для заправки воздушных судов, эксплуатируемых налогоплательщиком </w:t>
            </w:r>
          </w:p>
        </w:tc>
        <w:tc>
          <w:tcPr>
            <w:tcW w:w="559"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335</w:t>
            </w:r>
          </w:p>
        </w:tc>
        <w:tc>
          <w:tcPr>
            <w:tcW w:w="13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B02A95">
            <w:pPr>
              <w:spacing w:line="230" w:lineRule="auto"/>
              <w:jc w:val="center"/>
              <w:rPr>
                <w:rFonts w:ascii="Times New Roman" w:eastAsia="Times New Roman" w:hAnsi="Times New Roman" w:cs="Times New Roman"/>
                <w:color w:val="000000"/>
                <w:spacing w:val="-2"/>
                <w:sz w:val="16"/>
              </w:rPr>
            </w:pPr>
            <w:r w:rsidRPr="00B02A95">
              <w:rPr>
                <w:rFonts w:ascii="Times New Roman" w:eastAsia="Times New Roman" w:hAnsi="Times New Roman" w:cs="Times New Roman"/>
                <w:color w:val="000000"/>
                <w:spacing w:val="-2"/>
                <w:sz w:val="16"/>
              </w:rPr>
              <w:t>X</w:t>
            </w:r>
          </w:p>
        </w:tc>
        <w:tc>
          <w:tcPr>
            <w:tcW w:w="13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6"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1461"/>
        </w:trPr>
        <w:tc>
          <w:tcPr>
            <w:tcW w:w="214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55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61"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61"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3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6"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3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04"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r>
      <w:tr w:rsidR="000E5C84">
        <w:trPr>
          <w:trHeight w:hRule="exact" w:val="1562"/>
        </w:trPr>
        <w:tc>
          <w:tcPr>
            <w:tcW w:w="2149"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сумма акциза, начисленная налогоплательщиком, включенным в Реестр эксплуатантов гражданской авиации Российской Федерации и имеющим сертификат (свидетельство) эксплуатанта, при совершении операции, указанной в пп.28 п.1 ст.182 НК РФ, в случае неиспользования полученного авиационного керосина для заправки воздушных судов, эксплуатируемых налогоплательщиком</w:t>
            </w:r>
          </w:p>
        </w:tc>
        <w:tc>
          <w:tcPr>
            <w:tcW w:w="559"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340</w:t>
            </w:r>
          </w:p>
        </w:tc>
        <w:tc>
          <w:tcPr>
            <w:tcW w:w="13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3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6"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47"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vMerge w:val="restart"/>
            <w:tcBorders>
              <w:top w:val="single" w:sz="5" w:space="0" w:color="696969"/>
              <w:left w:val="single" w:sz="5" w:space="0" w:color="696969"/>
              <w:bottom w:val="single" w:sz="5" w:space="0" w:color="696969"/>
              <w:right w:val="single" w:sz="5" w:space="0" w:color="696969"/>
            </w:tcBorders>
            <w:shd w:val="clear" w:color="auto" w:fill="auto"/>
            <w:tcMar>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1547"/>
        </w:trPr>
        <w:tc>
          <w:tcPr>
            <w:tcW w:w="214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559"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61"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61"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3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6"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32"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247"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304"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r>
      <w:tr w:rsidR="000E5C84">
        <w:trPr>
          <w:trHeight w:hRule="exact" w:val="2751"/>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сумма акциза, начисленная налогоплательщиком, имеющим свидетельство на совершение операций с бензолом, параксилолом или ортоксилолом, при совершении операций, указанных в пп. 25, 26 и 27 п.1 ст.182 НК РФ, в случае использования полученного (оприходованного) бензола, параксилола, ортоксилола для производства продукции нефтехимии (п.20 ст.200 НК РФ)</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345</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2751"/>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lastRenderedPageBreak/>
              <w:t>- сумма акциза, начисленная налогоплательщиком, имеющим свидетельство на совершение операций с бензолом, параксилолом или ортоксилолом, при совершении операций, указанных в пп. 25, 26 и 27 п.1 ст.182 НК РФ, в случае использования полученного (оприходованного) бензола, параксилола, ортоксилола не для производства продукции нефтехимии и (или) выбытия (п.20 ст.200 НК РФ)</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350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2751"/>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сумма акциза, начисленная налогоплательщиком, имеющим свидетельство на совершение операций с бензолом, параксилолом или ортоксилолом, при совершении операций, указанных в пп. 25, 26 и 27 п.1 ст.182 НК, в случае использования полученного (оприходованного) бензола, параксилола, ортоксилола не для производства продукции нефтехимии и (или) выбытия (п.20 ст.200 НК)</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355</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X</w:t>
            </w:r>
          </w:p>
        </w:tc>
      </w:tr>
      <w:tr w:rsidR="000E5C84">
        <w:trPr>
          <w:trHeight w:hRule="exact" w:val="287"/>
        </w:trPr>
        <w:tc>
          <w:tcPr>
            <w:tcW w:w="214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Контрольная сумма</w:t>
            </w:r>
          </w:p>
        </w:tc>
        <w:tc>
          <w:tcPr>
            <w:tcW w:w="559"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390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Pr="00B02A95" w:rsidRDefault="00B02A95">
            <w:pPr>
              <w:spacing w:line="230" w:lineRule="auto"/>
              <w:jc w:val="center"/>
              <w:rPr>
                <w:rFonts w:ascii="Times New Roman" w:eastAsia="Times New Roman" w:hAnsi="Times New Roman" w:cs="Times New Roman"/>
                <w:b/>
                <w:color w:val="000000"/>
                <w:spacing w:val="-2"/>
                <w:sz w:val="16"/>
                <w:lang w:val="en-US"/>
              </w:rPr>
            </w:pPr>
            <w:r>
              <w:rPr>
                <w:rFonts w:ascii="Times New Roman" w:eastAsia="Times New Roman" w:hAnsi="Times New Roman" w:cs="Times New Roman"/>
                <w:b/>
                <w:color w:val="000000"/>
                <w:spacing w:val="-2"/>
                <w:sz w:val="16"/>
                <w:lang w:val="en-US"/>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Pr="00B02A95" w:rsidRDefault="00B02A95">
            <w:pPr>
              <w:spacing w:line="230" w:lineRule="auto"/>
              <w:jc w:val="center"/>
              <w:rPr>
                <w:rFonts w:ascii="Times New Roman" w:eastAsia="Times New Roman" w:hAnsi="Times New Roman" w:cs="Times New Roman"/>
                <w:b/>
                <w:color w:val="000000"/>
                <w:spacing w:val="-2"/>
                <w:sz w:val="16"/>
                <w:lang w:val="en-US"/>
              </w:rPr>
            </w:pPr>
            <w:r>
              <w:rPr>
                <w:rFonts w:ascii="Times New Roman" w:eastAsia="Times New Roman" w:hAnsi="Times New Roman" w:cs="Times New Roman"/>
                <w:b/>
                <w:color w:val="000000"/>
                <w:spacing w:val="-2"/>
                <w:sz w:val="16"/>
                <w:lang w:val="en-US"/>
              </w:rPr>
              <w:t>0</w:t>
            </w:r>
          </w:p>
        </w:tc>
        <w:tc>
          <w:tcPr>
            <w:tcW w:w="13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36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6"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32"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247"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c>
          <w:tcPr>
            <w:tcW w:w="130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16"/>
              </w:rPr>
            </w:pPr>
            <w:r>
              <w:rPr>
                <w:rFonts w:ascii="Times New Roman" w:eastAsia="Times New Roman" w:hAnsi="Times New Roman" w:cs="Times New Roman"/>
                <w:b/>
                <w:color w:val="000000"/>
                <w:spacing w:val="-2"/>
                <w:sz w:val="16"/>
              </w:rPr>
              <w:t>0</w:t>
            </w:r>
          </w:p>
        </w:tc>
      </w:tr>
    </w:tbl>
    <w:p w:rsidR="000E5C84" w:rsidRDefault="000E5C84">
      <w:pPr>
        <w:sectPr w:rsidR="000E5C84">
          <w:pgSz w:w="16838" w:h="11906" w:orient="landscape"/>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8353"/>
        <w:gridCol w:w="1691"/>
        <w:gridCol w:w="2708"/>
        <w:gridCol w:w="2880"/>
      </w:tblGrid>
      <w:tr w:rsidR="000E5C84">
        <w:trPr>
          <w:trHeight w:hRule="exact" w:val="788"/>
        </w:trPr>
        <w:tc>
          <w:tcPr>
            <w:tcW w:w="15632" w:type="dxa"/>
            <w:gridSpan w:val="4"/>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Раздел 4</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Акциз на средние дистилляты (677)</w:t>
            </w:r>
          </w:p>
        </w:tc>
      </w:tr>
      <w:tr w:rsidR="000E5C84">
        <w:trPr>
          <w:trHeight w:hRule="exact" w:val="229"/>
        </w:trPr>
        <w:tc>
          <w:tcPr>
            <w:tcW w:w="15632" w:type="dxa"/>
            <w:gridSpan w:val="4"/>
            <w:tcBorders>
              <w:bottom w:val="single" w:sz="5" w:space="0" w:color="696969"/>
            </w:tcBorders>
          </w:tcPr>
          <w:p w:rsidR="000E5C84" w:rsidRDefault="000E5C84"/>
        </w:tc>
      </w:tr>
      <w:tr w:rsidR="000E5C84">
        <w:trPr>
          <w:trHeight w:hRule="exact" w:val="444"/>
        </w:trPr>
        <w:tc>
          <w:tcPr>
            <w:tcW w:w="8353"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Показатели</w:t>
            </w:r>
          </w:p>
        </w:tc>
        <w:tc>
          <w:tcPr>
            <w:tcW w:w="1691"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строки</w:t>
            </w:r>
          </w:p>
        </w:tc>
        <w:tc>
          <w:tcPr>
            <w:tcW w:w="5588"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Средние дистилляты (677)</w:t>
            </w:r>
          </w:p>
        </w:tc>
      </w:tr>
      <w:tr w:rsidR="000E5C84">
        <w:trPr>
          <w:trHeight w:hRule="exact" w:val="688"/>
        </w:trPr>
        <w:tc>
          <w:tcPr>
            <w:tcW w:w="8353"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691"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288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(тыс.руб.)</w:t>
            </w:r>
          </w:p>
        </w:tc>
      </w:tr>
      <w:tr w:rsidR="000E5C84">
        <w:trPr>
          <w:trHeight w:hRule="exact" w:val="330"/>
        </w:trPr>
        <w:tc>
          <w:tcPr>
            <w:tcW w:w="8353"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w:t>
            </w:r>
          </w:p>
        </w:tc>
        <w:tc>
          <w:tcPr>
            <w:tcW w:w="1691"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Б</w:t>
            </w:r>
          </w:p>
        </w:tc>
        <w:tc>
          <w:tcPr>
            <w:tcW w:w="270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w:t>
            </w:r>
          </w:p>
        </w:tc>
        <w:tc>
          <w:tcPr>
            <w:tcW w:w="288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2</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Операции, подлежащие налогообложению акцизами (за исключением экспорта)</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400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2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них:</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57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 реализация на территории Российской Федерации лицами произведенных ими средних дистиллятов </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405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788"/>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получение средних дистиллятов российской организацией, имеющей свидетельство о регистрации организации, совершающей операции со средними дистиллятами (пп. 29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410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877"/>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реализация на территории Российской Федерации российскими организациями, включенными в реестр поставщиков бункерного топлива, и (или) российскими организациями, имеющими лицензию на осуществление погрузочно-разгрузочной, и (или) российскими организациями, заключившими с организациями, включенными в реестр поставщиков бункерного топлива, договоры, на основании которых используются объекты, посредством которых осуществляется бункеровка (заправка) водных судов, иностранным организациям средних дистиллятов, принадлежащих указанным российским организациям на праве собственности и вывезенных за пределы Российской Федерации в качестве припасов (пп. 30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415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447"/>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реализация российской организацией, включенной в реестр поставщиков бункерного топлива, средних дистиллятов, приобретенных в собственность и помещенных под таможенную процедуру экспорта, за пределы территории Российской Федерации иностранным организациям, выполняющим работы (оказывающим услуги), связанные с геологическим изучением, разведкой и (или) добычей углеводородного сырья на континентальном шельфе Российской Федерации (пп. 31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420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55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получение средних дистиллятов организацией, имеющей свидетельство о регистрации лица, совершающего операции по переработке средних дистиллятов (пп. 32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421</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00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оприходование организацией, имеющей свидетельство о регистрации лица, совершающего операции по переработке средних дистиллятов, средних дистиллятов, произведенных в результате оказания ей услуг по переработке сырья (материалов), принадлежащего указанной организации на праве собственности (пп. 33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422</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подлежащая вычету:</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430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нее:</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100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lastRenderedPageBreak/>
              <w:t>- сумма акциза, исчисленная налогоплательщиком, при совершении операции, указанной в пп. 29 п. 1 ст. 182 НК РФ, в случае использования полученных дистиллятов для бункеровки (заправки) водных судов и (или) установок и сооружений, указанных в статье 179.5 НК, принадлежащих налогоплательщику на праве собственности или ином законном основании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435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00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при совершении операции, указанной в пп. 29 п. 1 ст. 182 НК РФ, в случае неиспользования полученных дистиллятов для бункеровки (заправки) водных судов и (или) установок и сооружений, принадлежащих налогоплательщику на праве собственности или ином законном основании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440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662"/>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 сумма акциза, исчисленная налогоплательщиком, при совершении операции, указанной в пп. 30 п. 1 ст. 182 НК РФ, в случае реализации российской организацией, включенной в реестр поставщиков бункерного топлива, и (или) российской организацией, имеющей лицензию на осуществление погрузочно-разгрузочной деятельности, или лицом, заключившим с организацией, включенной в реестр поставщиков бункерного топлива, соответствующие договоры, средних дистиллятов иностранной организации и вывозе указанных средних дистиллятов за пределы Российской Федерации в качестве припасов на водных судах </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445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00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совершение операций со средними дистиллятами, при совершении операции, указанной в пп. 30 п. 1 ст. 182 НК РФ, в отношении средних дистиллятов, которые не были вывезены за пределы Российской Федерации в качестве припасов на водных судах, а также использованных на иные цели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450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662"/>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 сумма акциза, исчисленная налогоплательщиком, имеющим свидетельство на совершение операций со средними дистиллятами, при совершении операции, указанной в пп. 31 п. 1 ст. 182 НК РФ, в случае реализации российской организацией, включенной в реестр поставщиков бункерного топлива, за пределы Российской Федерации в соответствии с таможенной процедурой экспорта иностранной организации, выполняющей работы, связанные с геологическим изучением, разведкой и (или) добычей углеводородного сырья на континентальном шельфе Российской Федерации </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455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662"/>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совершение операций со средними дистиллятами, при совершении операции, указанной в пп. 31 п. 1 ст. 182 НК РФ, в случаях выбытия (использования) средних дистиллятов, отличных от реализации российской организацией, включенной в реестр поставщиков бункерного топлива, за пределы Российской Федерации в соответствии с таможенной процедурой экспорта иностранной организации, выполняющей работы, связанные с геологическим изучением, разведкой и (или) добычей углеводородного сырья на континентальном шельфе Российской Федерации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460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662"/>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на совершение операций со средними дистиллятами, при совершении операции, указанной в пп. 31 п. 1 ст. 182 НК РФ, в случаях выбытия (использования) средних дистиллятов, отличных от реализации российской организацией, включенной в реестр поставщиков бункерного топлива, за пределы Российской Федерации в соответствии с таможенной процедурой экспорта иностранной организации, выполняющей работы, связанные с геологическим изучением, разведкой и (или) добычей углеводородного сырья на континентальном шельфе Российской Федерации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465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788"/>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сумма акциза, исчисленная налогоплательщиком, имеющим свидетельство о регистрации лица, совершающего операции по переработке средних дистиллятов, при совершении операций, указанных в пп. 32 и 33 п. 1 ст. 182 НК РФ</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788"/>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lastRenderedPageBreak/>
              <w:t>Реализация нефтепродуктов, помещенных под таможенную процедуру экспорта за пределы территории Российской Федерации, а также реализация подакцизных товаров на территорию государств - членов ЕАЭС</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474</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788"/>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Реализация средних дистиллятов, помещенных под таможенную процедуру экспорта, при отсутствии банковской гарантии и реализация в государства – члены ЕАЭС, по которой в установленный срок не представлены документы, подтверждающие факт экспорта</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475</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55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Сумма акциза, предъявленная к возмещению, по средним дистиллятам, факт экспорта которых (в том числе в государства – члены ЕАЭС) документально подтвержден </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476</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218"/>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Реализация средних дистиллятов, помещенных под таможенную процедуру реэкспорта, за пределы территории Российской Федерации при отсутствии банковской гарантии (договора поручительства), а также реализация подакцизных товаров за пределы территории Российской Федерации, по которой в установленный срок не представлены документы, подтверждающие факт реэкспорта</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477</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573"/>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предъявленная к возмещению, по средним дистиллятам, факт реэкспорта которых документально подтвержден</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478</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55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Ввоз подакцизных товаров на территорию Российской Федерации с территории государств-членов ЕАЭС</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479</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 том числе:</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32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Беларусь</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480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Казахстан</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481</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Республики Армения</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482</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29"/>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из Киргизской Республики</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483</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353"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Контрольная сумма</w:t>
            </w:r>
          </w:p>
        </w:tc>
        <w:tc>
          <w:tcPr>
            <w:tcW w:w="1691"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490</w:t>
            </w:r>
          </w:p>
        </w:tc>
        <w:tc>
          <w:tcPr>
            <w:tcW w:w="270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88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bl>
    <w:p w:rsidR="000E5C84" w:rsidRDefault="000E5C84">
      <w:pPr>
        <w:sectPr w:rsidR="000E5C84">
          <w:pgSz w:w="16838" w:h="11906" w:orient="landscape"/>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5975"/>
        <w:gridCol w:w="688"/>
        <w:gridCol w:w="2020"/>
        <w:gridCol w:w="2034"/>
      </w:tblGrid>
      <w:tr w:rsidR="000E5C84">
        <w:trPr>
          <w:trHeight w:hRule="exact" w:val="788"/>
        </w:trPr>
        <w:tc>
          <w:tcPr>
            <w:tcW w:w="10717" w:type="dxa"/>
            <w:gridSpan w:val="4"/>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 xml:space="preserve">Раздел 5 </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Акциз на нефтяное сырье (678)</w:t>
            </w:r>
          </w:p>
        </w:tc>
      </w:tr>
      <w:tr w:rsidR="000E5C84">
        <w:trPr>
          <w:trHeight w:hRule="exact" w:val="229"/>
        </w:trPr>
        <w:tc>
          <w:tcPr>
            <w:tcW w:w="10717" w:type="dxa"/>
            <w:gridSpan w:val="4"/>
            <w:tcBorders>
              <w:bottom w:val="single" w:sz="5" w:space="0" w:color="696969"/>
            </w:tcBorders>
          </w:tcPr>
          <w:p w:rsidR="000E5C84" w:rsidRDefault="000E5C84"/>
        </w:tc>
      </w:tr>
      <w:tr w:rsidR="000E5C84">
        <w:trPr>
          <w:trHeight w:hRule="exact" w:val="444"/>
        </w:trPr>
        <w:tc>
          <w:tcPr>
            <w:tcW w:w="5975"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Показатели</w:t>
            </w:r>
          </w:p>
        </w:tc>
        <w:tc>
          <w:tcPr>
            <w:tcW w:w="688"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строки</w:t>
            </w:r>
          </w:p>
        </w:tc>
        <w:tc>
          <w:tcPr>
            <w:tcW w:w="4054" w:type="dxa"/>
            <w:gridSpan w:val="2"/>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Нефтяное сырье (678)</w:t>
            </w:r>
          </w:p>
        </w:tc>
      </w:tr>
      <w:tr w:rsidR="000E5C84">
        <w:trPr>
          <w:trHeight w:hRule="exact" w:val="688"/>
        </w:trPr>
        <w:tc>
          <w:tcPr>
            <w:tcW w:w="5975"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688"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20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 показателя (тонн)</w:t>
            </w:r>
          </w:p>
        </w:tc>
        <w:tc>
          <w:tcPr>
            <w:tcW w:w="2034"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Сумма акциза (тыс.руб.)</w:t>
            </w:r>
          </w:p>
        </w:tc>
      </w:tr>
      <w:tr w:rsidR="000E5C84">
        <w:trPr>
          <w:trHeight w:hRule="exact" w:val="330"/>
        </w:trPr>
        <w:tc>
          <w:tcPr>
            <w:tcW w:w="5975"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w:t>
            </w:r>
          </w:p>
        </w:tc>
        <w:tc>
          <w:tcPr>
            <w:tcW w:w="68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Б</w:t>
            </w:r>
          </w:p>
        </w:tc>
        <w:tc>
          <w:tcPr>
            <w:tcW w:w="2020"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w:t>
            </w:r>
          </w:p>
        </w:tc>
        <w:tc>
          <w:tcPr>
            <w:tcW w:w="2034"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2</w:t>
            </w:r>
          </w:p>
        </w:tc>
      </w:tr>
      <w:tr w:rsidR="000E5C84">
        <w:trPr>
          <w:trHeight w:hRule="exact" w:val="2106"/>
        </w:trPr>
        <w:tc>
          <w:tcPr>
            <w:tcW w:w="597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Операция, подлежащая налогообложению акцизами на территории Российской Федерации, по направлению нефтяного сырья, принадлежащего организации, имеющей свидетельство о регистрации лица, совершающего операции по переработке нефтяного сырья, на праве собственности, на переработку на производственных мощностях, принадлежащих такой организации либо организации, непосредственно оказывающей такой организации услуги по переработке нефтяного сырья (пп. 34 п. 1 ст. 182 НК РФ)</w:t>
            </w:r>
          </w:p>
        </w:tc>
        <w:tc>
          <w:tcPr>
            <w:tcW w:w="6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500</w:t>
            </w:r>
          </w:p>
        </w:tc>
        <w:tc>
          <w:tcPr>
            <w:tcW w:w="20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c>
          <w:tcPr>
            <w:tcW w:w="203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1232"/>
        </w:trPr>
        <w:tc>
          <w:tcPr>
            <w:tcW w:w="597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подлежащая вычету, а именно: сумма акциза, исчисленная налогоплательщиком, имеющим свидетельство о регистрации лица, совершающего операции по переработке нефтяного сырья, в период действия указанного свидетельства при совершении им операции (пп. 34 п. 1 ст. 182 НК РФ)</w:t>
            </w:r>
          </w:p>
        </w:tc>
        <w:tc>
          <w:tcPr>
            <w:tcW w:w="6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510</w:t>
            </w:r>
          </w:p>
        </w:tc>
        <w:tc>
          <w:tcPr>
            <w:tcW w:w="20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03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30"/>
        </w:trPr>
        <w:tc>
          <w:tcPr>
            <w:tcW w:w="597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Величина КДЕМП</w:t>
            </w:r>
          </w:p>
        </w:tc>
        <w:tc>
          <w:tcPr>
            <w:tcW w:w="6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515</w:t>
            </w:r>
          </w:p>
        </w:tc>
        <w:tc>
          <w:tcPr>
            <w:tcW w:w="20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c>
          <w:tcPr>
            <w:tcW w:w="203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597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Контрольная сумма (стр. 550 = сумма строк 500 - 515)</w:t>
            </w:r>
          </w:p>
        </w:tc>
        <w:tc>
          <w:tcPr>
            <w:tcW w:w="6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550</w:t>
            </w:r>
          </w:p>
        </w:tc>
        <w:tc>
          <w:tcPr>
            <w:tcW w:w="2020"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c>
          <w:tcPr>
            <w:tcW w:w="2034"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bl>
    <w:p w:rsidR="000E5C84" w:rsidRDefault="000E5C84">
      <w:pPr>
        <w:sectPr w:rsidR="000E5C84">
          <w:pgSz w:w="11906" w:h="16838"/>
          <w:pgMar w:top="567" w:right="567" w:bottom="517" w:left="567" w:header="567" w:footer="517" w:gutter="0"/>
          <w:cols w:space="720"/>
        </w:sectPr>
      </w:pPr>
    </w:p>
    <w:tbl>
      <w:tblPr>
        <w:tblW w:w="0" w:type="dxa"/>
        <w:tblLayout w:type="fixed"/>
        <w:tblCellMar>
          <w:left w:w="0" w:type="dxa"/>
          <w:right w:w="0" w:type="dxa"/>
        </w:tblCellMar>
        <w:tblLook w:val="04A0" w:firstRow="1" w:lastRow="0" w:firstColumn="1" w:lastColumn="0" w:noHBand="0" w:noVBand="1"/>
      </w:tblPr>
      <w:tblGrid>
        <w:gridCol w:w="559"/>
        <w:gridCol w:w="1017"/>
        <w:gridCol w:w="115"/>
        <w:gridCol w:w="1361"/>
        <w:gridCol w:w="100"/>
        <w:gridCol w:w="803"/>
        <w:gridCol w:w="1805"/>
        <w:gridCol w:w="100"/>
        <w:gridCol w:w="2264"/>
        <w:gridCol w:w="788"/>
        <w:gridCol w:w="1805"/>
      </w:tblGrid>
      <w:tr w:rsidR="000E5C84">
        <w:trPr>
          <w:trHeight w:hRule="exact" w:val="1017"/>
        </w:trPr>
        <w:tc>
          <w:tcPr>
            <w:tcW w:w="10717" w:type="dxa"/>
            <w:gridSpan w:val="11"/>
            <w:tcBorders>
              <w:bottom w:val="single" w:sz="5" w:space="0" w:color="696969"/>
            </w:tcBorders>
            <w:shd w:val="clear" w:color="auto" w:fill="auto"/>
          </w:tcPr>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lastRenderedPageBreak/>
              <w:t>Подраздел 5.1</w:t>
            </w:r>
          </w:p>
          <w:p w:rsidR="000E5C84" w:rsidRDefault="00A20D43">
            <w:pPr>
              <w:spacing w:line="230" w:lineRule="auto"/>
              <w:jc w:val="center"/>
              <w:rPr>
                <w:rFonts w:ascii="Times New Roman" w:eastAsia="Times New Roman" w:hAnsi="Times New Roman" w:cs="Times New Roman"/>
                <w:b/>
                <w:color w:val="000000"/>
                <w:spacing w:val="-2"/>
                <w:sz w:val="24"/>
              </w:rPr>
            </w:pPr>
            <w:r>
              <w:rPr>
                <w:rFonts w:ascii="Times New Roman" w:eastAsia="Times New Roman" w:hAnsi="Times New Roman" w:cs="Times New Roman"/>
                <w:b/>
                <w:color w:val="000000"/>
                <w:spacing w:val="-2"/>
                <w:sz w:val="24"/>
              </w:rPr>
              <w:t>По сумме акциза на нефтяное сырье (678), направленного на переработку, за декабрь 2021 года</w:t>
            </w:r>
          </w:p>
        </w:tc>
      </w:tr>
      <w:tr w:rsidR="000E5C84">
        <w:trPr>
          <w:trHeight w:hRule="exact" w:val="444"/>
        </w:trPr>
        <w:tc>
          <w:tcPr>
            <w:tcW w:w="8124" w:type="dxa"/>
            <w:gridSpan w:val="9"/>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Наименование показателя</w:t>
            </w:r>
          </w:p>
        </w:tc>
        <w:tc>
          <w:tcPr>
            <w:tcW w:w="788"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Код строки</w:t>
            </w:r>
          </w:p>
        </w:tc>
        <w:tc>
          <w:tcPr>
            <w:tcW w:w="1805" w:type="dxa"/>
            <w:vMerge w:val="restart"/>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Значение</w:t>
            </w:r>
          </w:p>
        </w:tc>
      </w:tr>
      <w:tr w:rsidR="000E5C84">
        <w:trPr>
          <w:trHeight w:hRule="exact" w:val="788"/>
        </w:trPr>
        <w:tc>
          <w:tcPr>
            <w:tcW w:w="8124" w:type="dxa"/>
            <w:gridSpan w:val="9"/>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788"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c>
          <w:tcPr>
            <w:tcW w:w="1805" w:type="dxa"/>
            <w:vMerge/>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0E5C84"/>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А</w:t>
            </w:r>
          </w:p>
        </w:tc>
        <w:tc>
          <w:tcPr>
            <w:tcW w:w="788"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Б</w:t>
            </w:r>
          </w:p>
        </w:tc>
        <w:tc>
          <w:tcPr>
            <w:tcW w:w="1805" w:type="dxa"/>
            <w:tcBorders>
              <w:top w:val="single" w:sz="5" w:space="0" w:color="696969"/>
              <w:left w:val="single" w:sz="5" w:space="0" w:color="696969"/>
              <w:bottom w:val="single" w:sz="5" w:space="0" w:color="696969"/>
              <w:right w:val="single" w:sz="5" w:space="0" w:color="696969"/>
            </w:tcBorders>
            <w:shd w:val="clear" w:color="auto" w:fill="auto"/>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1</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начисленного акциза на нефтяное сырье по декларации. руб.</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600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30"/>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вычета с учетом Кдемп по декларации, руб</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605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Сумма акциза на нефтяное сырье к возмещению по декларации, руб</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610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Количество нефтяного сырья, направленного на переработку VНС (тонн)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615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0,000</w:t>
            </w:r>
          </w:p>
        </w:tc>
      </w:tr>
      <w:tr w:rsidR="000E5C84">
        <w:trPr>
          <w:trHeight w:hRule="exact" w:val="1002"/>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Объемы высокооктанового (по исследовательскому методу 92 и более) автомобильного бензина класса 5, произведенные из направленного на переработку нефтяного сырья и иного сырья, принадлежащих налогоплательщику на праве собственности, и реализованные налогоплательщиком в налоговом периоде на территории РФ (Vаб) (тонн)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620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0,000</w:t>
            </w:r>
          </w:p>
        </w:tc>
      </w:tr>
      <w:tr w:rsidR="000E5C84">
        <w:trPr>
          <w:trHeight w:hRule="exact" w:val="1218"/>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Объемы высокооктанового (по исследовательскому методу 92 и более) автомобильного бензина класса 5, произведенные из направленного на переработку нефтяного сырья и иного сырья, принадлежащих налогоплательщику на праве собственности, и реализованные налогоплательщиком в налоговом периоде в базисах поставки, расположенных на территории Дальневосточного федерального округа, по перечню таких базисов поставки (VДВ_аб) (тонн)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625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0,000</w:t>
            </w:r>
          </w:p>
        </w:tc>
      </w:tr>
      <w:tr w:rsidR="000E5C84">
        <w:trPr>
          <w:trHeight w:hRule="exact" w:val="1003"/>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Дизельного топлива класса 5 соответственно, произведенные из направленного на переработку нефтяного сырья и иного сырья, принадлежащих налогоплательщику на праве собственности, и реализованные налогоплательщиком в налоговом периоде на территории РФ (Vдт) (тонн)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630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0,000</w:t>
            </w:r>
          </w:p>
        </w:tc>
      </w:tr>
      <w:tr w:rsidR="000E5C84">
        <w:trPr>
          <w:trHeight w:hRule="exact" w:val="1233"/>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Дизельного топлива класса 5 соответственно, произведенные из направленного на переработку нефтяного сырья и иного сырья, принадлежащих налогоплательщику на праве собственности, и реализованные налогоплательщиком в налоговом периодев базисах поставки, расположенных на территории Дальневосточного федерального округа, по перечню таких базисов поставки (VДВ_дт) (тонн)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635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0,000</w:t>
            </w:r>
          </w:p>
        </w:tc>
      </w:tr>
      <w:tr w:rsidR="000E5C84">
        <w:trPr>
          <w:trHeight w:hRule="exact" w:val="329"/>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Инвестиционная надбавка для нефтеперерабатывающих заводов КИН</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636</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0</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 xml:space="preserve">Расчет общей величины демпферного коэффициента (Кдемп) </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640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w:t>
            </w:r>
          </w:p>
        </w:tc>
      </w:tr>
      <w:tr w:rsidR="000E5C84">
        <w:trPr>
          <w:trHeight w:hRule="exact" w:val="329"/>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Расчет величины демпферного коэффициента (Кдемп) по автомобильному бензину</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645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Расчет величины демпферного коэффициента (Кдемп) по дизельному топливу</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650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ДАБ</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655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30"/>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ЦАБЭКСП</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660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ЦАБВР</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665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ДДТ</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670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29"/>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ЦДТЭКСП</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675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ЦДТВР</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680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29"/>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КАБ_комп</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685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КТД_комп</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690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ДДВ_АБ</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695</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30"/>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ДДВ_ДТ</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700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X</w:t>
            </w:r>
          </w:p>
        </w:tc>
      </w:tr>
      <w:tr w:rsidR="000E5C84">
        <w:trPr>
          <w:trHeight w:hRule="exact" w:val="344"/>
        </w:trPr>
        <w:tc>
          <w:tcPr>
            <w:tcW w:w="8124" w:type="dxa"/>
            <w:gridSpan w:val="9"/>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Контрольная сумма (стр. 750 = сумма строк 600 - 700)</w:t>
            </w:r>
          </w:p>
        </w:tc>
        <w:tc>
          <w:tcPr>
            <w:tcW w:w="788"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750</w:t>
            </w:r>
          </w:p>
        </w:tc>
        <w:tc>
          <w:tcPr>
            <w:tcW w:w="1805" w:type="dxa"/>
            <w:tcBorders>
              <w:top w:val="single" w:sz="5" w:space="0" w:color="696969"/>
              <w:left w:val="single" w:sz="5" w:space="0" w:color="696969"/>
              <w:bottom w:val="single" w:sz="5" w:space="0" w:color="696969"/>
              <w:right w:val="single" w:sz="5" w:space="0" w:color="696969"/>
            </w:tcBorders>
            <w:shd w:val="clear" w:color="auto" w:fill="auto"/>
            <w:tcMar>
              <w:top w:w="43" w:type="dxa"/>
              <w:left w:w="43" w:type="dxa"/>
              <w:right w:w="43" w:type="dxa"/>
            </w:tcMar>
            <w:vAlign w:val="center"/>
          </w:tcPr>
          <w:p w:rsidR="000E5C84" w:rsidRDefault="00A20D43">
            <w:pPr>
              <w:spacing w:line="230" w:lineRule="auto"/>
              <w:jc w:val="center"/>
              <w:rPr>
                <w:rFonts w:ascii="Times New Roman" w:eastAsia="Times New Roman" w:hAnsi="Times New Roman" w:cs="Times New Roman"/>
                <w:b/>
                <w:color w:val="000000"/>
                <w:spacing w:val="-2"/>
                <w:sz w:val="20"/>
              </w:rPr>
            </w:pPr>
            <w:r>
              <w:rPr>
                <w:rFonts w:ascii="Times New Roman" w:eastAsia="Times New Roman" w:hAnsi="Times New Roman" w:cs="Times New Roman"/>
                <w:b/>
                <w:color w:val="000000"/>
                <w:spacing w:val="-2"/>
                <w:sz w:val="20"/>
              </w:rPr>
              <w:t>0,000</w:t>
            </w:r>
          </w:p>
        </w:tc>
      </w:tr>
      <w:tr w:rsidR="000E5C84">
        <w:trPr>
          <w:trHeight w:hRule="exact" w:val="444"/>
        </w:trPr>
        <w:tc>
          <w:tcPr>
            <w:tcW w:w="10717" w:type="dxa"/>
            <w:gridSpan w:val="11"/>
            <w:tcBorders>
              <w:top w:val="single" w:sz="5" w:space="0" w:color="696969"/>
            </w:tcBorders>
          </w:tcPr>
          <w:p w:rsidR="000E5C84" w:rsidRDefault="000E5C84"/>
        </w:tc>
      </w:tr>
      <w:tr w:rsidR="000E5C84">
        <w:trPr>
          <w:trHeight w:hRule="exact" w:val="344"/>
        </w:trPr>
        <w:tc>
          <w:tcPr>
            <w:tcW w:w="559" w:type="dxa"/>
          </w:tcPr>
          <w:p w:rsidR="000E5C84" w:rsidRDefault="000E5C84"/>
        </w:tc>
        <w:tc>
          <w:tcPr>
            <w:tcW w:w="1017" w:type="dxa"/>
            <w:shd w:val="clear" w:color="auto" w:fill="FFFFFF"/>
            <w:tcMar>
              <w:top w:w="43" w:type="dxa"/>
              <w:left w:w="43" w:type="dxa"/>
              <w:right w:w="43" w:type="dxa"/>
            </w:tcMar>
            <w:vAlign w:val="bottom"/>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w:t>
            </w:r>
          </w:p>
        </w:tc>
        <w:tc>
          <w:tcPr>
            <w:tcW w:w="115" w:type="dxa"/>
          </w:tcPr>
          <w:p w:rsidR="000E5C84" w:rsidRDefault="000E5C84"/>
        </w:tc>
        <w:tc>
          <w:tcPr>
            <w:tcW w:w="1361" w:type="dxa"/>
            <w:tcBorders>
              <w:bottom w:val="single" w:sz="5" w:space="0" w:color="000000"/>
            </w:tcBorders>
            <w:shd w:val="clear" w:color="auto" w:fill="FFFFFF"/>
            <w:tcMar>
              <w:top w:w="43" w:type="dxa"/>
              <w:left w:w="43" w:type="dxa"/>
              <w:right w:w="43" w:type="dxa"/>
            </w:tcMar>
            <w:vAlign w:val="bottom"/>
          </w:tcPr>
          <w:p w:rsidR="000E5C84" w:rsidRDefault="000E5C84">
            <w:pPr>
              <w:spacing w:line="230" w:lineRule="auto"/>
              <w:jc w:val="center"/>
              <w:rPr>
                <w:rFonts w:ascii="Times New Roman" w:eastAsia="Times New Roman" w:hAnsi="Times New Roman" w:cs="Times New Roman"/>
                <w:color w:val="000000"/>
                <w:spacing w:val="-2"/>
                <w:sz w:val="20"/>
              </w:rPr>
            </w:pPr>
          </w:p>
        </w:tc>
        <w:tc>
          <w:tcPr>
            <w:tcW w:w="100" w:type="dxa"/>
          </w:tcPr>
          <w:p w:rsidR="000E5C84" w:rsidRDefault="000E5C84"/>
        </w:tc>
        <w:tc>
          <w:tcPr>
            <w:tcW w:w="803" w:type="dxa"/>
            <w:shd w:val="clear" w:color="auto" w:fill="FFFFFF"/>
            <w:tcMar>
              <w:top w:w="43" w:type="dxa"/>
              <w:left w:w="43" w:type="dxa"/>
              <w:right w:w="43" w:type="dxa"/>
            </w:tcMar>
            <w:vAlign w:val="bottom"/>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      г.</w:t>
            </w:r>
          </w:p>
        </w:tc>
        <w:tc>
          <w:tcPr>
            <w:tcW w:w="1905" w:type="dxa"/>
            <w:gridSpan w:val="2"/>
          </w:tcPr>
          <w:p w:rsidR="000E5C84" w:rsidRDefault="000E5C84"/>
        </w:tc>
        <w:tc>
          <w:tcPr>
            <w:tcW w:w="4857" w:type="dxa"/>
            <w:gridSpan w:val="3"/>
            <w:shd w:val="clear" w:color="auto" w:fill="FFFFFF"/>
            <w:tcMar>
              <w:top w:w="43" w:type="dxa"/>
              <w:left w:w="43" w:type="dxa"/>
              <w:right w:w="43" w:type="dxa"/>
            </w:tcMar>
            <w:vAlign w:val="bottom"/>
          </w:tcPr>
          <w:p w:rsidR="000E5C84" w:rsidRDefault="00A20D43">
            <w:pPr>
              <w:spacing w:line="230" w:lineRule="auto"/>
              <w:jc w:val="center"/>
              <w:rPr>
                <w:rFonts w:ascii="Times New Roman" w:eastAsia="Times New Roman" w:hAnsi="Times New Roman" w:cs="Times New Roman"/>
                <w:color w:val="000000"/>
                <w:spacing w:val="-2"/>
                <w:sz w:val="20"/>
              </w:rPr>
            </w:pPr>
            <w:r>
              <w:rPr>
                <w:rFonts w:ascii="Times New Roman" w:eastAsia="Times New Roman" w:hAnsi="Times New Roman" w:cs="Times New Roman"/>
                <w:color w:val="000000"/>
                <w:spacing w:val="-2"/>
                <w:sz w:val="20"/>
              </w:rPr>
              <w:t xml:space="preserve">Руководитель налогового органа </w:t>
            </w:r>
          </w:p>
        </w:tc>
      </w:tr>
      <w:tr w:rsidR="000E5C84">
        <w:trPr>
          <w:trHeight w:hRule="exact" w:val="344"/>
        </w:trPr>
        <w:tc>
          <w:tcPr>
            <w:tcW w:w="1691" w:type="dxa"/>
            <w:gridSpan w:val="3"/>
          </w:tcPr>
          <w:p w:rsidR="000E5C84" w:rsidRDefault="000E5C84"/>
        </w:tc>
        <w:tc>
          <w:tcPr>
            <w:tcW w:w="1361" w:type="dxa"/>
            <w:tcBorders>
              <w:top w:val="single" w:sz="5" w:space="0" w:color="000000"/>
            </w:tcBorders>
          </w:tcPr>
          <w:p w:rsidR="000E5C84" w:rsidRDefault="000E5C84"/>
        </w:tc>
        <w:tc>
          <w:tcPr>
            <w:tcW w:w="7665" w:type="dxa"/>
            <w:gridSpan w:val="7"/>
          </w:tcPr>
          <w:p w:rsidR="000E5C84" w:rsidRDefault="000E5C84"/>
        </w:tc>
      </w:tr>
      <w:tr w:rsidR="000E5C84">
        <w:trPr>
          <w:trHeight w:hRule="exact" w:val="329"/>
        </w:trPr>
        <w:tc>
          <w:tcPr>
            <w:tcW w:w="5760" w:type="dxa"/>
            <w:gridSpan w:val="7"/>
            <w:tcBorders>
              <w:bottom w:val="single" w:sz="5" w:space="0" w:color="000000"/>
            </w:tcBorders>
            <w:shd w:val="clear" w:color="auto" w:fill="FFFFFF"/>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c>
          <w:tcPr>
            <w:tcW w:w="100" w:type="dxa"/>
          </w:tcPr>
          <w:p w:rsidR="000E5C84" w:rsidRDefault="000E5C84"/>
        </w:tc>
        <w:tc>
          <w:tcPr>
            <w:tcW w:w="4857" w:type="dxa"/>
            <w:gridSpan w:val="3"/>
            <w:tcBorders>
              <w:bottom w:val="single" w:sz="5" w:space="0" w:color="000000"/>
            </w:tcBorders>
            <w:shd w:val="clear" w:color="auto" w:fill="FFFFFF"/>
            <w:tcMar>
              <w:top w:w="43" w:type="dxa"/>
              <w:left w:w="43" w:type="dxa"/>
              <w:right w:w="43" w:type="dxa"/>
            </w:tcMar>
            <w:vAlign w:val="center"/>
          </w:tcPr>
          <w:p w:rsidR="000E5C84" w:rsidRDefault="000E5C84">
            <w:pPr>
              <w:spacing w:line="230" w:lineRule="auto"/>
              <w:jc w:val="center"/>
              <w:rPr>
                <w:rFonts w:ascii="Times New Roman" w:eastAsia="Times New Roman" w:hAnsi="Times New Roman" w:cs="Times New Roman"/>
                <w:color w:val="000000"/>
                <w:spacing w:val="-2"/>
                <w:sz w:val="20"/>
              </w:rPr>
            </w:pPr>
          </w:p>
        </w:tc>
      </w:tr>
      <w:tr w:rsidR="000E5C84">
        <w:trPr>
          <w:trHeight w:hRule="exact" w:val="344"/>
        </w:trPr>
        <w:tc>
          <w:tcPr>
            <w:tcW w:w="5760" w:type="dxa"/>
            <w:gridSpan w:val="7"/>
            <w:tcBorders>
              <w:top w:val="single" w:sz="5" w:space="0" w:color="000000"/>
            </w:tcBorders>
            <w:shd w:val="clear" w:color="auto" w:fill="FFFFFF"/>
            <w:tcMar>
              <w:top w:w="43" w:type="dxa"/>
              <w:left w:w="43" w:type="dxa"/>
              <w:right w:w="43" w:type="dxa"/>
            </w:tcMa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 xml:space="preserve"> ( Ф.И.О., номер телефона исполнителя)</w:t>
            </w:r>
          </w:p>
        </w:tc>
        <w:tc>
          <w:tcPr>
            <w:tcW w:w="100" w:type="dxa"/>
          </w:tcPr>
          <w:p w:rsidR="000E5C84" w:rsidRDefault="000E5C84"/>
        </w:tc>
        <w:tc>
          <w:tcPr>
            <w:tcW w:w="4857" w:type="dxa"/>
            <w:gridSpan w:val="3"/>
            <w:tcBorders>
              <w:top w:val="single" w:sz="5" w:space="0" w:color="000000"/>
            </w:tcBorders>
            <w:shd w:val="clear" w:color="auto" w:fill="FFFFFF"/>
            <w:tcMar>
              <w:top w:w="43" w:type="dxa"/>
              <w:left w:w="43" w:type="dxa"/>
              <w:right w:w="43" w:type="dxa"/>
            </w:tcMar>
          </w:tcPr>
          <w:p w:rsidR="000E5C84" w:rsidRDefault="00A20D43">
            <w:pPr>
              <w:spacing w:line="230" w:lineRule="auto"/>
              <w:jc w:val="center"/>
              <w:rPr>
                <w:rFonts w:ascii="Times New Roman" w:eastAsia="Times New Roman" w:hAnsi="Times New Roman" w:cs="Times New Roman"/>
                <w:color w:val="000000"/>
                <w:spacing w:val="-2"/>
                <w:sz w:val="16"/>
              </w:rPr>
            </w:pPr>
            <w:r>
              <w:rPr>
                <w:rFonts w:ascii="Times New Roman" w:eastAsia="Times New Roman" w:hAnsi="Times New Roman" w:cs="Times New Roman"/>
                <w:color w:val="000000"/>
                <w:spacing w:val="-2"/>
                <w:sz w:val="16"/>
              </w:rPr>
              <w:t>(подпись, Ф.И.О. руководителя)</w:t>
            </w:r>
          </w:p>
        </w:tc>
      </w:tr>
    </w:tbl>
    <w:p w:rsidR="00A20D43" w:rsidRDefault="00A20D43"/>
    <w:sectPr w:rsidR="00A20D43">
      <w:pgSz w:w="11906" w:h="16838"/>
      <w:pgMar w:top="567" w:right="567" w:bottom="517" w:left="567" w:header="567" w:footer="51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
  <w:rsids>
    <w:rsidRoot w:val="000E5C84"/>
    <w:rsid w:val="000E5C84"/>
    <w:rsid w:val="00724D1C"/>
    <w:rsid w:val="00A20D43"/>
    <w:rsid w:val="00B02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3369</Words>
  <Characters>19206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Report</vt:lpstr>
    </vt:vector>
  </TitlesOfParts>
  <Company>Stimulsoft Reports 2019.3.3 from 20 July 2019</Company>
  <LinksUpToDate>false</LinksUpToDate>
  <CharactersWithSpaces>22530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user</dc:creator>
  <cp:lastModifiedBy>user</cp:lastModifiedBy>
  <cp:revision>2</cp:revision>
  <dcterms:created xsi:type="dcterms:W3CDTF">2022-03-30T08:50:00Z</dcterms:created>
  <dcterms:modified xsi:type="dcterms:W3CDTF">2022-03-30T08:50:00Z</dcterms:modified>
</cp:coreProperties>
</file>