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3611"/>
        <w:gridCol w:w="1347"/>
        <w:gridCol w:w="3052"/>
        <w:gridCol w:w="114"/>
        <w:gridCol w:w="1691"/>
        <w:gridCol w:w="559"/>
        <w:gridCol w:w="114"/>
      </w:tblGrid>
      <w:tr w:rsidR="00482E1B">
        <w:trPr>
          <w:trHeight w:hRule="exact" w:val="444"/>
        </w:trPr>
        <w:tc>
          <w:tcPr>
            <w:tcW w:w="229" w:type="dxa"/>
          </w:tcPr>
          <w:p w:rsidR="00482E1B" w:rsidRDefault="00482E1B">
            <w:bookmarkStart w:id="0" w:name="_GoBack"/>
            <w:bookmarkEnd w:id="0"/>
          </w:p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ОТЧЕТНОСТЬ ФЕДЕРАЛЬНОЙ НАЛОГОВОЙ СЛУЖБЫ</w:t>
            </w:r>
          </w:p>
        </w:tc>
        <w:tc>
          <w:tcPr>
            <w:tcW w:w="114" w:type="dxa"/>
          </w:tcPr>
          <w:p w:rsidR="00482E1B" w:rsidRDefault="00482E1B"/>
        </w:tc>
      </w:tr>
      <w:tr w:rsidR="00482E1B">
        <w:trPr>
          <w:trHeight w:hRule="exact" w:val="229"/>
        </w:trPr>
        <w:tc>
          <w:tcPr>
            <w:tcW w:w="229" w:type="dxa"/>
          </w:tcPr>
          <w:p w:rsidR="00482E1B" w:rsidRDefault="00482E1B"/>
        </w:tc>
        <w:tc>
          <w:tcPr>
            <w:tcW w:w="10374" w:type="dxa"/>
            <w:gridSpan w:val="6"/>
            <w:tcBorders>
              <w:top w:val="double" w:sz="5" w:space="0" w:color="000000"/>
              <w:bottom w:val="single" w:sz="5" w:space="0" w:color="000000"/>
            </w:tcBorders>
          </w:tcPr>
          <w:p w:rsidR="00482E1B" w:rsidRDefault="00482E1B"/>
        </w:tc>
        <w:tc>
          <w:tcPr>
            <w:tcW w:w="114" w:type="dxa"/>
          </w:tcPr>
          <w:p w:rsidR="00482E1B" w:rsidRDefault="00482E1B"/>
        </w:tc>
      </w:tr>
      <w:tr w:rsidR="00482E1B">
        <w:trPr>
          <w:trHeight w:hRule="exact" w:val="1247"/>
        </w:trPr>
        <w:tc>
          <w:tcPr>
            <w:tcW w:w="229" w:type="dxa"/>
            <w:tcBorders>
              <w:right w:val="single" w:sz="5" w:space="0" w:color="000000"/>
            </w:tcBorders>
          </w:tcPr>
          <w:p w:rsidR="00482E1B" w:rsidRDefault="00482E1B"/>
        </w:tc>
        <w:tc>
          <w:tcPr>
            <w:tcW w:w="103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</w:t>
            </w:r>
          </w:p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 НАЛОГОВОЙ БАЗЕ И СТРУКТУРЕ НАЧИСЛЕНИЙ ПО АКЦИЗАМ НА НЕФТЕПРОДУКТЫ</w:t>
            </w:r>
          </w:p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за 2021 год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82E1B" w:rsidRDefault="00482E1B"/>
        </w:tc>
      </w:tr>
      <w:tr w:rsidR="00482E1B">
        <w:trPr>
          <w:trHeight w:hRule="exact" w:val="115"/>
        </w:trPr>
        <w:tc>
          <w:tcPr>
            <w:tcW w:w="229" w:type="dxa"/>
          </w:tcPr>
          <w:p w:rsidR="00482E1B" w:rsidRDefault="00482E1B"/>
        </w:tc>
        <w:tc>
          <w:tcPr>
            <w:tcW w:w="8010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482E1B" w:rsidRDefault="00482E1B"/>
        </w:tc>
        <w:tc>
          <w:tcPr>
            <w:tcW w:w="114" w:type="dxa"/>
            <w:tcBorders>
              <w:top w:val="single" w:sz="5" w:space="0" w:color="000000"/>
            </w:tcBorders>
          </w:tcPr>
          <w:p w:rsidR="00482E1B" w:rsidRDefault="00482E1B"/>
        </w:tc>
        <w:tc>
          <w:tcPr>
            <w:tcW w:w="2250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482E1B" w:rsidRDefault="00482E1B"/>
        </w:tc>
        <w:tc>
          <w:tcPr>
            <w:tcW w:w="114" w:type="dxa"/>
          </w:tcPr>
          <w:p w:rsidR="00482E1B" w:rsidRDefault="00482E1B"/>
        </w:tc>
      </w:tr>
      <w:tr w:rsidR="00482E1B">
        <w:trPr>
          <w:trHeight w:hRule="exact" w:val="1017"/>
        </w:trPr>
        <w:tc>
          <w:tcPr>
            <w:tcW w:w="229" w:type="dxa"/>
            <w:tcBorders>
              <w:right w:val="single" w:sz="5" w:space="0" w:color="000000"/>
            </w:tcBorders>
          </w:tcPr>
          <w:p w:rsidR="00482E1B" w:rsidRDefault="00482E1B"/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Представляется (утверждается):</w:t>
            </w:r>
          </w:p>
        </w:tc>
        <w:tc>
          <w:tcPr>
            <w:tcW w:w="4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Сроки представления (утверждения)</w:t>
            </w:r>
          </w:p>
        </w:tc>
        <w:tc>
          <w:tcPr>
            <w:tcW w:w="114" w:type="dxa"/>
            <w:tcBorders>
              <w:left w:val="single" w:sz="5" w:space="0" w:color="000000"/>
              <w:right w:val="single" w:sz="5" w:space="0" w:color="000000"/>
            </w:tcBorders>
          </w:tcPr>
          <w:p w:rsidR="00482E1B" w:rsidRDefault="00482E1B"/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формы</w:t>
            </w:r>
          </w:p>
        </w:tc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5NP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82E1B" w:rsidRDefault="00482E1B"/>
        </w:tc>
      </w:tr>
      <w:tr w:rsidR="00482E1B">
        <w:trPr>
          <w:trHeight w:hRule="exact" w:val="2865"/>
        </w:trPr>
        <w:tc>
          <w:tcPr>
            <w:tcW w:w="229" w:type="dxa"/>
            <w:tcBorders>
              <w:right w:val="single" w:sz="5" w:space="0" w:color="000000"/>
            </w:tcBorders>
          </w:tcPr>
          <w:p w:rsidR="00482E1B" w:rsidRDefault="00482E1B"/>
        </w:tc>
        <w:tc>
          <w:tcPr>
            <w:tcW w:w="361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Управлениями ФНС России по субъектам Российской Федерации - Федеральной налоговой службе;</w:t>
            </w:r>
          </w:p>
          <w:p w:rsidR="00482E1B" w:rsidRDefault="00482E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482E1B" w:rsidRDefault="00482E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482E1B" w:rsidRDefault="00482E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482E1B" w:rsidRDefault="00482E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482E1B" w:rsidRDefault="00482E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482E1B" w:rsidRDefault="00482E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Межрегиональными инспекциями ФНС России по крупнейшим налогоплательщикам – в Управления ФНС России по соответствующим субъектам Российской Федерации </w:t>
            </w:r>
          </w:p>
          <w:p w:rsidR="00482E1B" w:rsidRDefault="00482E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Межрайонными инспекциями ФНС России по крупнейшим налогоплательщикам – в межрегиональные инспекции ФНС России по крупнейшим налогоплательщикам</w:t>
            </w:r>
          </w:p>
          <w:p w:rsidR="00482E1B" w:rsidRDefault="00482E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Управлениями ФНС России по субъектам Российской Федерации финансовым органам субъекта Российской Федерации</w:t>
            </w:r>
          </w:p>
          <w:p w:rsidR="00482E1B" w:rsidRDefault="00482E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Инсп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екциями ФНС России - органам местного самоуправления</w:t>
            </w:r>
          </w:p>
        </w:tc>
        <w:tc>
          <w:tcPr>
            <w:tcW w:w="4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Раздел 5 и подраздел 5.1 - представляется ежемесячно до 25 числа месяца, следующего за отчетным;</w:t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за 1 полугодие - не позднее 21.09.2021; </w:t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за 2021 год - не позднее: </w:t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– 22.03.2022;</w:t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– 06.07.2022.</w:t>
            </w:r>
          </w:p>
          <w:p w:rsidR="00482E1B" w:rsidRDefault="00482E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482E1B" w:rsidRDefault="00482E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 2 раб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очих дня ранее срока, установленного для УФНС России по субъектам Российской Федерации</w:t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482E1B" w:rsidRDefault="00482E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 4 рабочих дней ранее срока, установленного для УФНС России по субъектам Российской Федерации</w:t>
            </w:r>
          </w:p>
          <w:p w:rsidR="00482E1B" w:rsidRDefault="00482E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не позднее 28.07.2022</w:t>
            </w:r>
          </w:p>
          <w:p w:rsidR="00482E1B" w:rsidRDefault="00482E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не позднее 28.07.2022</w:t>
            </w:r>
          </w:p>
        </w:tc>
        <w:tc>
          <w:tcPr>
            <w:tcW w:w="114" w:type="dxa"/>
            <w:tcBorders>
              <w:left w:val="single" w:sz="5" w:space="0" w:color="000000"/>
              <w:right w:val="single" w:sz="5" w:space="0" w:color="000000"/>
            </w:tcBorders>
          </w:tcPr>
          <w:p w:rsidR="00482E1B" w:rsidRDefault="00482E1B"/>
        </w:tc>
        <w:tc>
          <w:tcPr>
            <w:tcW w:w="225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Форма № 5-НП</w:t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Утверждена </w:t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приказом ФНС России</w:t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от 30.12.2020</w:t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№ ВД-7-1/986@</w:t>
            </w:r>
          </w:p>
          <w:p w:rsidR="00482E1B" w:rsidRDefault="00482E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 редакции приказа</w:t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ФНС России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от 30.12.2021</w:t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№ СД-7-1/1197@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Представляется два раза в год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82E1B" w:rsidRDefault="00482E1B"/>
        </w:tc>
      </w:tr>
      <w:tr w:rsidR="00482E1B">
        <w:trPr>
          <w:trHeight w:hRule="exact" w:val="2522"/>
        </w:trPr>
        <w:tc>
          <w:tcPr>
            <w:tcW w:w="229" w:type="dxa"/>
            <w:tcBorders>
              <w:right w:val="single" w:sz="5" w:space="0" w:color="000000"/>
            </w:tcBorders>
          </w:tcPr>
          <w:p w:rsidR="00482E1B" w:rsidRDefault="00482E1B"/>
        </w:tc>
        <w:tc>
          <w:tcPr>
            <w:tcW w:w="361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82E1B" w:rsidRDefault="00482E1B"/>
        </w:tc>
        <w:tc>
          <w:tcPr>
            <w:tcW w:w="4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82E1B" w:rsidRDefault="00482E1B"/>
        </w:tc>
        <w:tc>
          <w:tcPr>
            <w:tcW w:w="114" w:type="dxa"/>
            <w:tcBorders>
              <w:left w:val="single" w:sz="5" w:space="0" w:color="000000"/>
              <w:right w:val="single" w:sz="5" w:space="0" w:color="000000"/>
            </w:tcBorders>
          </w:tcPr>
          <w:p w:rsidR="00482E1B" w:rsidRDefault="00482E1B"/>
        </w:tc>
        <w:tc>
          <w:tcPr>
            <w:tcW w:w="225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82E1B" w:rsidRDefault="00482E1B"/>
        </w:tc>
        <w:tc>
          <w:tcPr>
            <w:tcW w:w="114" w:type="dxa"/>
            <w:tcBorders>
              <w:left w:val="single" w:sz="5" w:space="0" w:color="000000"/>
            </w:tcBorders>
          </w:tcPr>
          <w:p w:rsidR="00482E1B" w:rsidRDefault="00482E1B"/>
        </w:tc>
      </w:tr>
      <w:tr w:rsidR="00482E1B">
        <w:trPr>
          <w:trHeight w:hRule="exact" w:val="2508"/>
        </w:trPr>
        <w:tc>
          <w:tcPr>
            <w:tcW w:w="229" w:type="dxa"/>
            <w:tcBorders>
              <w:right w:val="single" w:sz="5" w:space="0" w:color="000000"/>
            </w:tcBorders>
          </w:tcPr>
          <w:p w:rsidR="00482E1B" w:rsidRDefault="00482E1B"/>
        </w:tc>
        <w:tc>
          <w:tcPr>
            <w:tcW w:w="361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82E1B" w:rsidRDefault="00482E1B"/>
        </w:tc>
        <w:tc>
          <w:tcPr>
            <w:tcW w:w="4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82E1B" w:rsidRDefault="00482E1B"/>
        </w:tc>
        <w:tc>
          <w:tcPr>
            <w:tcW w:w="114" w:type="dxa"/>
            <w:tcBorders>
              <w:left w:val="single" w:sz="5" w:space="0" w:color="000000"/>
              <w:right w:val="single" w:sz="5" w:space="0" w:color="000000"/>
            </w:tcBorders>
          </w:tcPr>
          <w:p w:rsidR="00482E1B" w:rsidRDefault="00482E1B"/>
        </w:tc>
        <w:tc>
          <w:tcPr>
            <w:tcW w:w="225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82E1B" w:rsidRDefault="00482E1B"/>
        </w:tc>
        <w:tc>
          <w:tcPr>
            <w:tcW w:w="114" w:type="dxa"/>
            <w:tcBorders>
              <w:left w:val="single" w:sz="5" w:space="0" w:color="000000"/>
            </w:tcBorders>
          </w:tcPr>
          <w:p w:rsidR="00482E1B" w:rsidRDefault="00482E1B"/>
        </w:tc>
      </w:tr>
      <w:tr w:rsidR="00482E1B">
        <w:trPr>
          <w:trHeight w:hRule="exact" w:val="229"/>
        </w:trPr>
        <w:tc>
          <w:tcPr>
            <w:tcW w:w="229" w:type="dxa"/>
          </w:tcPr>
          <w:p w:rsidR="00482E1B" w:rsidRDefault="00482E1B"/>
        </w:tc>
        <w:tc>
          <w:tcPr>
            <w:tcW w:w="8010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482E1B" w:rsidRDefault="00482E1B"/>
        </w:tc>
        <w:tc>
          <w:tcPr>
            <w:tcW w:w="114" w:type="dxa"/>
            <w:tcBorders>
              <w:bottom w:val="single" w:sz="5" w:space="0" w:color="000000"/>
            </w:tcBorders>
          </w:tcPr>
          <w:p w:rsidR="00482E1B" w:rsidRDefault="00482E1B"/>
        </w:tc>
        <w:tc>
          <w:tcPr>
            <w:tcW w:w="2250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482E1B" w:rsidRDefault="00482E1B"/>
        </w:tc>
        <w:tc>
          <w:tcPr>
            <w:tcW w:w="114" w:type="dxa"/>
          </w:tcPr>
          <w:p w:rsidR="00482E1B" w:rsidRDefault="00482E1B"/>
        </w:tc>
      </w:tr>
      <w:tr w:rsidR="00482E1B"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 w:rsidR="00482E1B" w:rsidRDefault="00482E1B"/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82E1B" w:rsidRDefault="00482E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</w:t>
            </w:r>
          </w:p>
        </w:tc>
        <w:tc>
          <w:tcPr>
            <w:tcW w:w="541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82E1B" w:rsidRDefault="00482E1B"/>
        </w:tc>
      </w:tr>
      <w:tr w:rsidR="00482E1B">
        <w:trPr>
          <w:trHeight w:hRule="exact" w:val="902"/>
        </w:trPr>
        <w:tc>
          <w:tcPr>
            <w:tcW w:w="229" w:type="dxa"/>
            <w:tcBorders>
              <w:right w:val="single" w:sz="5" w:space="0" w:color="000000"/>
            </w:tcBorders>
          </w:tcPr>
          <w:p w:rsidR="00482E1B" w:rsidRDefault="00482E1B"/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Республика, край, область, автономное образование, город</w:t>
            </w:r>
          </w:p>
        </w:tc>
        <w:tc>
          <w:tcPr>
            <w:tcW w:w="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01</w:t>
            </w:r>
          </w:p>
        </w:tc>
        <w:tc>
          <w:tcPr>
            <w:tcW w:w="541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Республика Адыгея (Адыгея)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82E1B" w:rsidRDefault="00482E1B"/>
        </w:tc>
      </w:tr>
      <w:tr w:rsidR="00482E1B">
        <w:trPr>
          <w:trHeight w:hRule="exact" w:val="903"/>
        </w:trPr>
        <w:tc>
          <w:tcPr>
            <w:tcW w:w="229" w:type="dxa"/>
            <w:tcBorders>
              <w:right w:val="single" w:sz="5" w:space="0" w:color="000000"/>
            </w:tcBorders>
          </w:tcPr>
          <w:p w:rsidR="00482E1B" w:rsidRDefault="00482E1B"/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Налоговый орган</w:t>
            </w:r>
          </w:p>
        </w:tc>
        <w:tc>
          <w:tcPr>
            <w:tcW w:w="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0100</w:t>
            </w:r>
          </w:p>
        </w:tc>
        <w:tc>
          <w:tcPr>
            <w:tcW w:w="541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УФНС России по Республике Адыгея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82E1B" w:rsidRDefault="00482E1B"/>
        </w:tc>
      </w:tr>
      <w:tr w:rsidR="00482E1B">
        <w:trPr>
          <w:trHeight w:hRule="exact" w:val="1691"/>
        </w:trPr>
        <w:tc>
          <w:tcPr>
            <w:tcW w:w="229" w:type="dxa"/>
            <w:tcBorders>
              <w:right w:val="single" w:sz="5" w:space="0" w:color="000000"/>
            </w:tcBorders>
          </w:tcPr>
          <w:p w:rsidR="00482E1B" w:rsidRDefault="00482E1B"/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Муниципальное образование</w:t>
            </w:r>
          </w:p>
        </w:tc>
        <w:tc>
          <w:tcPr>
            <w:tcW w:w="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79703000</w:t>
            </w:r>
          </w:p>
        </w:tc>
        <w:tc>
          <w:tcPr>
            <w:tcW w:w="541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Город Адыгейск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82E1B" w:rsidRDefault="00482E1B"/>
        </w:tc>
      </w:tr>
      <w:tr w:rsidR="00482E1B">
        <w:trPr>
          <w:trHeight w:hRule="exact" w:val="114"/>
        </w:trPr>
        <w:tc>
          <w:tcPr>
            <w:tcW w:w="229" w:type="dxa"/>
          </w:tcPr>
          <w:p w:rsidR="00482E1B" w:rsidRDefault="00482E1B"/>
        </w:tc>
        <w:tc>
          <w:tcPr>
            <w:tcW w:w="10374" w:type="dxa"/>
            <w:gridSpan w:val="6"/>
            <w:tcBorders>
              <w:top w:val="single" w:sz="5" w:space="0" w:color="000000"/>
            </w:tcBorders>
          </w:tcPr>
          <w:p w:rsidR="00482E1B" w:rsidRDefault="00482E1B"/>
        </w:tc>
        <w:tc>
          <w:tcPr>
            <w:tcW w:w="114" w:type="dxa"/>
          </w:tcPr>
          <w:p w:rsidR="00482E1B" w:rsidRDefault="00482E1B"/>
        </w:tc>
      </w:tr>
      <w:tr w:rsidR="00482E1B">
        <w:trPr>
          <w:trHeight w:hRule="exact" w:val="115"/>
        </w:trPr>
        <w:tc>
          <w:tcPr>
            <w:tcW w:w="229" w:type="dxa"/>
          </w:tcPr>
          <w:p w:rsidR="00482E1B" w:rsidRDefault="00482E1B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114" w:type="dxa"/>
          </w:tcPr>
          <w:p w:rsidR="00482E1B" w:rsidRDefault="00482E1B"/>
        </w:tc>
      </w:tr>
    </w:tbl>
    <w:p w:rsidR="00482E1B" w:rsidRDefault="00482E1B">
      <w:pPr>
        <w:sectPr w:rsidR="00482E1B">
          <w:pgSz w:w="11906" w:h="16838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9"/>
        <w:gridCol w:w="788"/>
        <w:gridCol w:w="2708"/>
        <w:gridCol w:w="2708"/>
        <w:gridCol w:w="2378"/>
        <w:gridCol w:w="2651"/>
      </w:tblGrid>
      <w:tr w:rsidR="00482E1B">
        <w:trPr>
          <w:trHeight w:hRule="exact" w:val="788"/>
        </w:trPr>
        <w:tc>
          <w:tcPr>
            <w:tcW w:w="15632" w:type="dxa"/>
            <w:gridSpan w:val="6"/>
            <w:shd w:val="clear" w:color="auto" w:fill="auto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>Раздел 1</w:t>
            </w:r>
          </w:p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Акцизы на дизельное топливо (630) и прямогонный бензин (650)</w:t>
            </w:r>
          </w:p>
        </w:tc>
      </w:tr>
      <w:tr w:rsidR="00482E1B">
        <w:trPr>
          <w:trHeight w:hRule="exact" w:val="229"/>
        </w:trPr>
        <w:tc>
          <w:tcPr>
            <w:tcW w:w="15632" w:type="dxa"/>
            <w:gridSpan w:val="6"/>
            <w:tcBorders>
              <w:bottom w:val="single" w:sz="5" w:space="0" w:color="696969"/>
            </w:tcBorders>
          </w:tcPr>
          <w:p w:rsidR="00482E1B" w:rsidRDefault="00482E1B"/>
        </w:tc>
      </w:tr>
      <w:tr w:rsidR="00482E1B">
        <w:trPr>
          <w:trHeight w:hRule="exact" w:val="444"/>
        </w:trPr>
        <w:tc>
          <w:tcPr>
            <w:tcW w:w="439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788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5416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Дизельное топливо (630)</w:t>
            </w:r>
          </w:p>
        </w:tc>
        <w:tc>
          <w:tcPr>
            <w:tcW w:w="5029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Прямогонный бензин (650)</w:t>
            </w:r>
          </w:p>
        </w:tc>
      </w:tr>
      <w:tr w:rsidR="00482E1B">
        <w:trPr>
          <w:trHeight w:hRule="exact" w:val="1018"/>
        </w:trPr>
        <w:tc>
          <w:tcPr>
            <w:tcW w:w="439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показателя (тонн)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(тыс.руб.)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показателя (тонн)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(тыс.руб.)</w:t>
            </w:r>
          </w:p>
        </w:tc>
      </w:tr>
      <w:tr w:rsidR="00482E1B">
        <w:trPr>
          <w:trHeight w:hRule="exact" w:val="34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</w:t>
            </w:r>
          </w:p>
        </w:tc>
      </w:tr>
      <w:tr w:rsidR="00482E1B">
        <w:trPr>
          <w:trHeight w:hRule="exact" w:val="558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Операции, подлежащие налогообложению акцизами (за исключением экспорта)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100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них: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82E1B">
        <w:trPr>
          <w:trHeight w:hRule="exact" w:val="1003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получение (приобретение в собственность) прямогонного бензина организацией, имеющей свидетельство на переработку прямогонного бензина (пп. 21 п. 1 ст. 182 НК РФ)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662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оприходование прямогонного бензина лицом, имеющим свидетельство на переработку прямогонного бензина, произведенного в результате оказания указанному лицу услуг по переработке сырья (материалов), принадлежащего ему на праве собственности (пп.23 п.1 ст.182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447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оприходование прямогонного бензина в структуре лица, имеющего свидетельство на переработку прямогонного бензина, произведенного в указанной структуре из сырья (материалов), принадлежащего указанному лицу на праве собственности (пп.24 п.1 ст.182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30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акциза, подлежащая вычету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125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нее: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82E1B">
        <w:trPr>
          <w:trHeight w:hRule="exact" w:val="1662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производство прямогонного бензина, при реализации прямогонного бензина налогоплательщику, имеющему свидетельство на переработку прямогонного бензина (п. 13 ст. 200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447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- сумма акциза, исчисленная налогоплательщиком, имеющим свидетельство на производство прямогонного бензина, при совершении с прямогонным бензином операций, указанных в пп.7 и 12 п.1 ст.182 НК РФ (п. 14 ст. 200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2321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переработку прямогонного бензина, при совершении операций, указанных в пп.21,23,24 п.1 ст.182 НК РФ, в случае использования полученного (оприходованного) прямогонного бензина для прои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зводства продукции нефтехимии, отвечающей требованиям, установленным в абзаце втором п.15 ст. 200 НК (п.15 ст.200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2536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переработку прямогонного бензина, при совершении операций, указанных в пп.21 п.1 ст.182 НК РФ, в случае использования полученного прямогонного бензина для производства продукции нефте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химии, не отвечающей требованиям, установленным в абзаце втором п. 15 ст. 200 НК РФ или для производства бензола, параксилола, ортоксилола (п.15 ст.200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2321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переработку прямогонного бензина, при совершении операций, указанных в пп.23,24 п.1 ст.182 НК, в случае использования оприходованного прямогонного бензина не для производства продукци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 нефтехимии, отвечающей требованиям, установленным в абзаце втором п.15 ст.200 НК РФ и (или) его выбытия (п.15 ст.200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2321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lastRenderedPageBreak/>
              <w:t xml:space="preserve">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160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003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акциза, предъявленная к возмещению, по нефтепродуктам,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165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218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Реализация нефтепродуктов, помещенных под таможенную процедуру экспорта за пределы территории Российской Федерации, а также реализация подакцизных товаров на территорию государств - членов ЕАЭС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166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2321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Реализация подакцизных товаров, помещенных под таможенную процедуру реэкспорта, за пределы территории Российской Федерации при отсутствии банковской гарантии (договора поручительства), а также реализация подакцизных товаров за пределы территории Российской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 Федерации, по которой в установленный срок не представлены документы, подтверждающие факт реэкспорта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170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788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акциза, предъявленная к возмещению, по нефтепродуктам, факт реэкспорта которых  документально подтвержден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175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77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Ввоз подакцизных товаров на территорию Российской Федерации с территории государств-членов ЕАЭС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176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82E1B">
        <w:trPr>
          <w:trHeight w:hRule="exact" w:val="34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Беларусь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177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29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Казахстан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178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Армения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179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Киргизской Республики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30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190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65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</w:tbl>
    <w:p w:rsidR="00482E1B" w:rsidRDefault="00482E1B">
      <w:pPr>
        <w:sectPr w:rsidR="00482E1B">
          <w:pgSz w:w="16838" w:h="11906" w:orient="landscape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2"/>
        <w:gridCol w:w="903"/>
        <w:gridCol w:w="1920"/>
        <w:gridCol w:w="1920"/>
        <w:gridCol w:w="1920"/>
        <w:gridCol w:w="1920"/>
        <w:gridCol w:w="1920"/>
        <w:gridCol w:w="1977"/>
      </w:tblGrid>
      <w:tr w:rsidR="00482E1B">
        <w:trPr>
          <w:trHeight w:hRule="exact" w:val="903"/>
        </w:trPr>
        <w:tc>
          <w:tcPr>
            <w:tcW w:w="15632" w:type="dxa"/>
            <w:gridSpan w:val="8"/>
            <w:shd w:val="clear" w:color="auto" w:fill="auto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>Раздел 2</w:t>
            </w:r>
          </w:p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Акцизы на моторные масла для дизельных и (или) карбюраторных (инжекторных) двигателей (640), </w:t>
            </w:r>
          </w:p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автомобильный бензин класса 5 (665) и автомобильный бензин, не соответствующий классу 5 (676)</w:t>
            </w:r>
          </w:p>
        </w:tc>
      </w:tr>
      <w:tr w:rsidR="00482E1B">
        <w:trPr>
          <w:trHeight w:hRule="exact" w:val="114"/>
        </w:trPr>
        <w:tc>
          <w:tcPr>
            <w:tcW w:w="15632" w:type="dxa"/>
            <w:gridSpan w:val="8"/>
            <w:tcBorders>
              <w:bottom w:val="single" w:sz="5" w:space="0" w:color="696969"/>
            </w:tcBorders>
          </w:tcPr>
          <w:p w:rsidR="00482E1B" w:rsidRDefault="00482E1B"/>
        </w:tc>
      </w:tr>
      <w:tr w:rsidR="00482E1B">
        <w:trPr>
          <w:trHeight w:hRule="exact" w:val="1018"/>
        </w:trPr>
        <w:tc>
          <w:tcPr>
            <w:tcW w:w="315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903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3840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Моторные масла для дизельных и (или) карбюраторных (инжекторных) двигателей (640)</w:t>
            </w:r>
          </w:p>
        </w:tc>
        <w:tc>
          <w:tcPr>
            <w:tcW w:w="3840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Автомобильный бензин класса 5 (665)</w:t>
            </w:r>
          </w:p>
        </w:tc>
        <w:tc>
          <w:tcPr>
            <w:tcW w:w="3897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Автомобильный бензин, не соответствующий классу 5 (676)</w:t>
            </w:r>
          </w:p>
        </w:tc>
      </w:tr>
      <w:tr w:rsidR="00482E1B">
        <w:trPr>
          <w:trHeight w:hRule="exact" w:val="673"/>
        </w:trPr>
        <w:tc>
          <w:tcPr>
            <w:tcW w:w="315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903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показателя (тонн)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 (тыс.руб.)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показателя (тонн)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 (тыс.руб.)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показателя (тонн)</w:t>
            </w:r>
          </w:p>
        </w:tc>
        <w:tc>
          <w:tcPr>
            <w:tcW w:w="197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 (тыс.руб.)</w:t>
            </w:r>
          </w:p>
        </w:tc>
      </w:tr>
      <w:tr w:rsidR="00482E1B">
        <w:trPr>
          <w:trHeight w:hRule="exact" w:val="344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5</w:t>
            </w:r>
          </w:p>
        </w:tc>
        <w:tc>
          <w:tcPr>
            <w:tcW w:w="197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6</w:t>
            </w:r>
          </w:p>
        </w:tc>
      </w:tr>
      <w:tr w:rsidR="00482E1B">
        <w:trPr>
          <w:trHeight w:hRule="exact" w:val="774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Операции, подлежащие налогообложению акцизами (за исключением экспорта)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7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3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акциза, подлежащая вычету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197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2322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Реализация нефтепродуктов, помещенных под таможенную процедуру экспорта, при отсутствии банковской гарантии (договора поручительства) и реализация в государства – члены ЕАЭС, по которой в установленный срок не представлены документы, подтверждающие факт эк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спорта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7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447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акциза, предъявленная к возмещению, по нефтепродуктам,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7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877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Реализация нефтепродуктов, помещенных под таможенную процедуру экспорта за пределы территории Российской Федерации, а также реализация подакцизных товаров на территорию государств - членов ЕАЭС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235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7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490"/>
        </w:trPr>
        <w:tc>
          <w:tcPr>
            <w:tcW w:w="315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Реализация подакцизных товаров, помещенных под таможенную процедуру реэкспорта, за пределы территории Российской Федерации при отсутствии банковской гарантии (договора поручительства), а также реализация подакцизных товаров за пределы территории Российской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Федерации, по которой в установленный срок не представлены документы, подтверждающие факт реэкспорта</w:t>
            </w:r>
          </w:p>
        </w:tc>
        <w:tc>
          <w:tcPr>
            <w:tcW w:w="903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240</w:t>
            </w:r>
          </w:p>
        </w:tc>
        <w:tc>
          <w:tcPr>
            <w:tcW w:w="1920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7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490"/>
        </w:trPr>
        <w:tc>
          <w:tcPr>
            <w:tcW w:w="315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903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920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920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920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920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920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97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</w:tr>
      <w:tr w:rsidR="00482E1B">
        <w:trPr>
          <w:trHeight w:hRule="exact" w:val="1003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акциза, предъявленная к возмещению, по нефтепродуктам, факт реэкспорта которых  документально подтвержден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7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003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Ввоз подакцизных товаров на территорию Российской Федерации с территории государств-членов ЕАЭС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7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4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7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82E1B">
        <w:trPr>
          <w:trHeight w:hRule="exact" w:val="329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Беларусь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7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4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Казахстан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7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4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Республика Армения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7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30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Киргизской Республики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7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3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290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7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</w:tbl>
    <w:p w:rsidR="00482E1B" w:rsidRDefault="00482E1B">
      <w:pPr>
        <w:sectPr w:rsidR="00482E1B">
          <w:pgSz w:w="16838" w:h="11906" w:orient="landscape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9"/>
        <w:gridCol w:w="559"/>
        <w:gridCol w:w="1347"/>
        <w:gridCol w:w="1361"/>
        <w:gridCol w:w="1347"/>
        <w:gridCol w:w="1361"/>
        <w:gridCol w:w="1247"/>
        <w:gridCol w:w="1232"/>
        <w:gridCol w:w="1246"/>
        <w:gridCol w:w="1232"/>
        <w:gridCol w:w="1247"/>
        <w:gridCol w:w="1304"/>
      </w:tblGrid>
      <w:tr w:rsidR="00482E1B">
        <w:trPr>
          <w:trHeight w:hRule="exact" w:val="673"/>
        </w:trPr>
        <w:tc>
          <w:tcPr>
            <w:tcW w:w="15632" w:type="dxa"/>
            <w:gridSpan w:val="12"/>
            <w:shd w:val="clear" w:color="auto" w:fill="auto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>Раздел 3</w:t>
            </w:r>
          </w:p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Акцизы на авиационный керосин (671), бензол (672), параксилол (673), ортоксилол (674) и природный газ (735)</w:t>
            </w:r>
          </w:p>
        </w:tc>
      </w:tr>
      <w:tr w:rsidR="00482E1B">
        <w:trPr>
          <w:trHeight w:hRule="exact" w:val="230"/>
        </w:trPr>
        <w:tc>
          <w:tcPr>
            <w:tcW w:w="15632" w:type="dxa"/>
            <w:gridSpan w:val="12"/>
            <w:tcBorders>
              <w:bottom w:val="single" w:sz="5" w:space="0" w:color="696969"/>
            </w:tcBorders>
          </w:tcPr>
          <w:p w:rsidR="00482E1B" w:rsidRDefault="00482E1B"/>
        </w:tc>
      </w:tr>
      <w:tr w:rsidR="00482E1B">
        <w:trPr>
          <w:trHeight w:hRule="exact" w:val="444"/>
        </w:trPr>
        <w:tc>
          <w:tcPr>
            <w:tcW w:w="214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Показатели</w:t>
            </w:r>
          </w:p>
        </w:tc>
        <w:tc>
          <w:tcPr>
            <w:tcW w:w="55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Код строки</w:t>
            </w:r>
          </w:p>
        </w:tc>
        <w:tc>
          <w:tcPr>
            <w:tcW w:w="2708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Авиационный керосин (671)</w:t>
            </w:r>
          </w:p>
        </w:tc>
        <w:tc>
          <w:tcPr>
            <w:tcW w:w="2708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Бензол (672)</w:t>
            </w:r>
          </w:p>
        </w:tc>
        <w:tc>
          <w:tcPr>
            <w:tcW w:w="2479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Параксилол (673)</w:t>
            </w:r>
          </w:p>
        </w:tc>
        <w:tc>
          <w:tcPr>
            <w:tcW w:w="2478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Ортоксилол (674)</w:t>
            </w:r>
          </w:p>
        </w:tc>
        <w:tc>
          <w:tcPr>
            <w:tcW w:w="2551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Природный газ (735)</w:t>
            </w:r>
          </w:p>
        </w:tc>
      </w:tr>
      <w:tr w:rsidR="00482E1B">
        <w:trPr>
          <w:trHeight w:hRule="exact" w:val="688"/>
        </w:trPr>
        <w:tc>
          <w:tcPr>
            <w:tcW w:w="214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55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Значение показателя (тонн)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Сумма акциза (тыс.руб.)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Значение показателя (тонн)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Сумма акциза (тыс.руб.)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Значение показателя (тонн)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Сумма акциза (тыс.руб.)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Значение показателя (тонн)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Сумма акциза (тыс.руб.)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Значение показателя (тыс.руб.)</w:t>
            </w:r>
          </w:p>
        </w:tc>
        <w:tc>
          <w:tcPr>
            <w:tcW w:w="130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Сумма акциза (тыс.руб.)</w:t>
            </w:r>
          </w:p>
        </w:tc>
      </w:tr>
      <w:tr w:rsidR="00482E1B">
        <w:trPr>
          <w:trHeight w:hRule="exact" w:val="329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А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Б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30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10</w:t>
            </w:r>
          </w:p>
        </w:tc>
      </w:tr>
      <w:tr w:rsidR="00482E1B">
        <w:trPr>
          <w:trHeight w:hRule="exact" w:val="659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Операции, подлежащие налогообложению акцизами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300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0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</w:tr>
      <w:tr w:rsidR="00482E1B">
        <w:trPr>
          <w:trHeight w:hRule="exact" w:val="287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из них: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0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</w:tr>
      <w:tr w:rsidR="00482E1B">
        <w:trPr>
          <w:trHeight w:hRule="exact" w:val="1705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- получение (приобретение в собственность) бензола, параксилола, ортоксилола лицом, имеющим свидетельство на совершение операций с бензолом, параксилолом или ортоксилолом (пп. 25 п. 1 ст. 182 НК РФ)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310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0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482E1B">
        <w:trPr>
          <w:trHeight w:hRule="exact" w:val="2579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- оприходование бензола, параксилола, ортоксилола лицом, имеющим свидетельство на совершение операций с бензолом, параксилолом или ортоксилолом, произведенных в результате оказания указанному лицу услуг по переработке сырья (материалов), принадлежащего ему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на праве собственности (пп. 26 п. 1 ст.182 НК РФ)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315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0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482E1B">
        <w:trPr>
          <w:trHeight w:hRule="exact" w:val="2393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- оприходование бензола, параксилола, ортоксилола в структуре лица, имеющего свидетельство на совершение операций с бензолом, параксилолом или ортоксилолом, произведенных в указанной структуре из сырья (материалов), принадлежащего указанному лицу на праве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собственности (пп. 27 п.1 ст.182 НК РФ)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320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0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482E1B">
        <w:trPr>
          <w:trHeight w:hRule="exact" w:val="472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Сумма акциза, подлежащая вычету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330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0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</w:tr>
      <w:tr w:rsidR="00482E1B">
        <w:trPr>
          <w:trHeight w:hRule="exact" w:val="287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из нее: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0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</w:tr>
      <w:tr w:rsidR="00482E1B">
        <w:trPr>
          <w:trHeight w:hRule="exact" w:val="1476"/>
        </w:trPr>
        <w:tc>
          <w:tcPr>
            <w:tcW w:w="214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lastRenderedPageBreak/>
              <w:t>- сумма акциза, начисленная налогоплательщиком, включенным в Реестр эксплуатантов гражданской авиации Российской Федерации и имеющим сертификат (свидетельство) эксплуатанта, при совершении операции, указанной в пп.28 п.1 ст.182 НК РФ, в случае использовани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я полученного авиационного керосина для заправки воздушных судов, эксплуатируемых налогоплательщиком </w:t>
            </w:r>
          </w:p>
        </w:tc>
        <w:tc>
          <w:tcPr>
            <w:tcW w:w="55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335</w:t>
            </w:r>
          </w:p>
        </w:tc>
        <w:tc>
          <w:tcPr>
            <w:tcW w:w="13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46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04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482E1B">
        <w:trPr>
          <w:trHeight w:hRule="exact" w:val="1461"/>
        </w:trPr>
        <w:tc>
          <w:tcPr>
            <w:tcW w:w="214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55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3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36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3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36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2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23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246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23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2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304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</w:tr>
      <w:tr w:rsidR="00482E1B">
        <w:trPr>
          <w:trHeight w:hRule="exact" w:val="1562"/>
        </w:trPr>
        <w:tc>
          <w:tcPr>
            <w:tcW w:w="214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- сумма акциза, начисленная налогоплательщиком, включенным в Реестр эксплуатантов гражданской авиации Российской Федерации и имеющим сертификат (свидетельство) эксплуатанта, при совершении операции, указанной в пп.28 п.1 ст.182 НК РФ, в случае неиспользова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ния полученного авиационного керосина для заправки воздушных судов, эксплуатируемых налогоплательщиком</w:t>
            </w:r>
          </w:p>
        </w:tc>
        <w:tc>
          <w:tcPr>
            <w:tcW w:w="55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340</w:t>
            </w:r>
          </w:p>
        </w:tc>
        <w:tc>
          <w:tcPr>
            <w:tcW w:w="13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46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04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482E1B">
        <w:trPr>
          <w:trHeight w:hRule="exact" w:val="1547"/>
        </w:trPr>
        <w:tc>
          <w:tcPr>
            <w:tcW w:w="214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55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3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36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3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36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2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23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246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23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2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304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</w:tr>
      <w:tr w:rsidR="00482E1B">
        <w:trPr>
          <w:trHeight w:hRule="exact" w:val="2751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- сумма акциза, начисленная налогоплательщиком, имеющим свидетельство на совершение операций с бензолом, параксилолом или ортоксилолом, при совершении операций, указанных в пп. 25, 26 и 27 п.1 ст.182 НК РФ, в случае использования полученного (оприходованно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го) бензола, параксилола, ортоксилола для производства продукции нефтехимии (п.20 ст.200 НК РФ)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345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0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482E1B">
        <w:trPr>
          <w:trHeight w:hRule="exact" w:val="2751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lastRenderedPageBreak/>
              <w:t>- сумма акциза, начисленная налогоплательщиком, имеющим свидетельство на совершение операций с бензолом, параксилолом или ортоксилолом, при совершении операций, указанных в пп. 25, 26 и 27 п.1 ст.182 НК РФ, в случае использования полученного (оприходованно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го) бензола, параксилола, ортоксилола не для производства продукции нефтехимии и (или) выбытия (п.20 ст.200 НК РФ)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350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0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482E1B">
        <w:trPr>
          <w:trHeight w:hRule="exact" w:val="2751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- сумма акциза, начисленная налогоплательщиком, имеющим свидетельство на совершение операций с бензолом, параксилолом или ортоксилолом, при совершении операций, указанных в пп. 25, 26 и 27 п.1 ст.182 НК, в случае использования полученного (оприходованного)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бензола, параксилола, ортоксилола не для производства продукции нефтехимии и (или) выбытия (п.20 ст.200 НК)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355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0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482E1B">
        <w:trPr>
          <w:trHeight w:hRule="exact" w:val="287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Контрольная сумма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390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0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</w:tr>
    </w:tbl>
    <w:p w:rsidR="00482E1B" w:rsidRDefault="00482E1B">
      <w:pPr>
        <w:sectPr w:rsidR="00482E1B">
          <w:pgSz w:w="16838" w:h="11906" w:orient="landscape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3"/>
        <w:gridCol w:w="1691"/>
        <w:gridCol w:w="2708"/>
        <w:gridCol w:w="2880"/>
      </w:tblGrid>
      <w:tr w:rsidR="00482E1B">
        <w:trPr>
          <w:trHeight w:hRule="exact" w:val="788"/>
        </w:trPr>
        <w:tc>
          <w:tcPr>
            <w:tcW w:w="15632" w:type="dxa"/>
            <w:gridSpan w:val="4"/>
            <w:shd w:val="clear" w:color="auto" w:fill="auto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>Раздел 4</w:t>
            </w:r>
          </w:p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Акциз на средние дистилляты (677)</w:t>
            </w:r>
          </w:p>
        </w:tc>
      </w:tr>
      <w:tr w:rsidR="00482E1B">
        <w:trPr>
          <w:trHeight w:hRule="exact" w:val="229"/>
        </w:trPr>
        <w:tc>
          <w:tcPr>
            <w:tcW w:w="15632" w:type="dxa"/>
            <w:gridSpan w:val="4"/>
            <w:tcBorders>
              <w:bottom w:val="single" w:sz="5" w:space="0" w:color="696969"/>
            </w:tcBorders>
          </w:tcPr>
          <w:p w:rsidR="00482E1B" w:rsidRDefault="00482E1B"/>
        </w:tc>
      </w:tr>
      <w:tr w:rsidR="00482E1B">
        <w:trPr>
          <w:trHeight w:hRule="exact" w:val="444"/>
        </w:trPr>
        <w:tc>
          <w:tcPr>
            <w:tcW w:w="8353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169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5588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Средние дистилляты (677)</w:t>
            </w:r>
          </w:p>
        </w:tc>
      </w:tr>
      <w:tr w:rsidR="00482E1B">
        <w:trPr>
          <w:trHeight w:hRule="exact" w:val="688"/>
        </w:trPr>
        <w:tc>
          <w:tcPr>
            <w:tcW w:w="8353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69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показателя (тонн)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 (тыс.руб.)</w:t>
            </w:r>
          </w:p>
        </w:tc>
      </w:tr>
      <w:tr w:rsidR="00482E1B">
        <w:trPr>
          <w:trHeight w:hRule="exact" w:val="330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</w:tr>
      <w:tr w:rsidR="00482E1B">
        <w:trPr>
          <w:trHeight w:hRule="exact" w:val="344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Операции, подлежащие налогообложению акцизами (за исключением экспорта)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400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29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них: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82E1B">
        <w:trPr>
          <w:trHeight w:hRule="exact" w:val="573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реализация на территории Российской Федерации лицами произведенных ими средних дистиллятов 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788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получение средних дистиллятов российской организацией, имеющей свидетельство о регистрации организации, совершающей операции со средними дистиллятами (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пп. 29 п. 1 ст. 182 НК РФ)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410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877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реализация на территории Российской Федерации российскими организациями, включенными в реестр поставщиков бункерного топлива, и (или) российскими организациями, имеющими лицензию на осуществление погрузочно-разгрузочной, и (или) российскими организациями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, заключившими с организациями, включенными в реестр поставщиков бункерного топлива, договоры, на основании которых используются объекты, посредством которых осуществляется бункеровка (заправка) водных судов, иностранным организациям средних дистиллятов,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ринадлежащих указанным российским организациям на праве собственности и вывезенных за пределы Российской Федерации в качестве припасов (пп. 30 п. 1 ст. 182 НК РФ)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415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447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реализация российской организацией, включенной в реестр поставщиков бункерного топлива, средних дистиллятов, приобретенных в собственность и помещенных под таможенную процедуру экспорта, за пределы территории Российской Федерации иностранным организациям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, выполняющим работы (оказывающим услуги), связанные с геологическим изучением, разведкой и (или) добычей углеводородного сырья на континентальном шельфе Российской Федерации (пп. 31 п. 1 ст. 182 НК РФ)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559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получение средних дистиллятов организацией, имеющей свидетельство о регистрации лица, совершающего операции по переработке средних дистиллятов (пп. 32 п. 1 ст. 182 НК РФ)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421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003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оприходование организацией, имеющей свидетельство о регистрации лица, совершающего операции по переработке средних дистиллятов, средних дистиллятов, произведенных в результате оказания ей услуг по переработке сырья (материалов), принадлежащего указанной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организации на праве собственности (пп. 33 п. 1 ст. 182 НК РФ)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422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4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акциза, подлежащая вычету: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430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4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нее: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82E1B">
        <w:trPr>
          <w:trHeight w:hRule="exact" w:val="1003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- сумма акциза, исчисленная налогоплательщиком, при совершении операции, указанной в пп. 29 п. 1 ст. 182 НК РФ, в случае использования полученных дистиллятов для бункеровки (заправки) водных судов и (или) установок и сооружений, указанных в статье 179.5 НК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, принадлежащих налогоплательщику на праве собственности или ином законном основании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435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003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при совершении операции, указанной в пп. 29 п. 1 ст. 182 НК РФ, в случае неиспользования полученных дистиллятов для бункеровки (заправки) водных судов и (или) установок и сооружений, принадлежащих налогоплате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льщику на праве собственности или ином законном основании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440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662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при совершении операции, указанной в пп. 30 п. 1 ст. 182 НК РФ, в случае реализации российской организацией, включенной в реестр поставщиков бункерного топлива, и (или) российской организацией, имеющей лиценз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ию на осуществление погрузочно-разгрузочной деятельности, или лицом, заключившим с организацией, включенной в реестр поставщиков бункерного топлива, соответствующие договоры, средних дистиллятов иностранной организации и вывозе указанных средних дистиллято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в за пределы Российской Федерации в качестве припасов на водных судах 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445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003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совершение операций со средними дистиллятами, при совершении операции, указанной в пп. 30 п. 1 ст. 182 НК РФ, в отношении средних дистиллятов, которые не были вывезены за пределы Росс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ийской Федерации в качестве припасов на водных судах, а также использованных на иные цели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450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662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совершение операций со средними дистиллятами, при совершении операции, указанной в пп. 31 п. 1 ст. 182 НК РФ, в случае реализации российской организацией, включенной в реестр поставщи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ков бункерного топлива, за пределы Российской Федерации в соответствии с таможенной процедурой экспорта иностранной организации, выполняющей работы, связанные с геологическим изучением, разведкой и (или) добычей углеводородного сырья на континентальном шел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ьфе Российской Федерации 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455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662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совершение операций со средними дистиллятами, при совершении операции, указанной в пп. 31 п. 1 ст. 182 НК РФ, в случаях выбытия (использования) средних дистиллятов, отличных от реализ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ации российской организацией, включенной в реестр поставщиков бункерного топлива, за пределы Российской Федерации в соответствии с таможенной процедурой экспорта иностранной организации, выполняющей работы, связанные с геологическим изучением, разведкой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(или) добычей углеводородного сырья на континентальном шельфе Российской Федерации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460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662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совершение операций со средними дистиллятами, при совершении операции, указанной в пп. 31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 1 ст. 182 НК РФ, в случаях выбытия (использования) средних дистиллятов, отличных от реализации российской организацией, включенной в реестр поставщиков бункерного топлива, за пределы Российской Федерации в соответствии с таможенной процедурой экспорта 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остранной организации, выполняющей работы, связанные с геологическим изучением, разведкой и (или) добычей углеводородного сырья на континентальном шельфе Российской Федерации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465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788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сумма акциза, исчисленная налогоплательщиком, имеющим свидетельство 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регистрации лица, совершающего операции по переработке средних дистиллятов, при совершении операций, указанных в пп. 32 и 33 п. 1 ст. 182 НК РФ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788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Реализация нефтепродуктов, помещенных под таможенную процедуру экспорта за пределы территории Российской Федерации, а также реализация подакцизных товаров на территорию государств - членов ЕАЭС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474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788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Реализация средних дистиллятов, помещенных под таможе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нную процедуру экспорта, при отсутствии банковской гарантии и реализация в государства – члены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559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акциза, предъявленная к возмещению, по средним дисти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ллятам, факт экспорта которых (в том числе в государства – члены ЕАЭС) документально подтвержден 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476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218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Реализация средних дистиллятов, помещенных под таможенную процедуру реэкспорта, за пределы территории Российской Федерации при отсутствии банковской гарантии (договора поручительства), а также реализация подакцизных товаров за пределы территории Российской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Федерации, по которой в установленный срок не представлены документы, подтверждающие факт реэкспорта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477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573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акциза, предъявленная к возмещению, по средним дистиллятам, факт реэкспорта которых документально подтвержден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478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559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Ввоз подакцизных товаров на территорию Российской Федерации с территории государств-членов ЕАЭС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479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4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82E1B">
        <w:trPr>
          <w:trHeight w:hRule="exact" w:val="329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Беларусь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4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Казахстан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481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4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Армения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482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29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Киргизской Республики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483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4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490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8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</w:tbl>
    <w:p w:rsidR="00482E1B" w:rsidRDefault="00482E1B">
      <w:pPr>
        <w:sectPr w:rsidR="00482E1B">
          <w:pgSz w:w="16838" w:h="11906" w:orient="landscape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5"/>
        <w:gridCol w:w="688"/>
        <w:gridCol w:w="2020"/>
        <w:gridCol w:w="2034"/>
      </w:tblGrid>
      <w:tr w:rsidR="00482E1B">
        <w:trPr>
          <w:trHeight w:hRule="exact" w:val="788"/>
        </w:trPr>
        <w:tc>
          <w:tcPr>
            <w:tcW w:w="10717" w:type="dxa"/>
            <w:gridSpan w:val="4"/>
            <w:shd w:val="clear" w:color="auto" w:fill="auto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 xml:space="preserve">Раздел 5 </w:t>
            </w:r>
          </w:p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Акциз на нефтяное сырье (678)</w:t>
            </w:r>
          </w:p>
        </w:tc>
      </w:tr>
      <w:tr w:rsidR="00482E1B">
        <w:trPr>
          <w:trHeight w:hRule="exact" w:val="229"/>
        </w:trPr>
        <w:tc>
          <w:tcPr>
            <w:tcW w:w="10717" w:type="dxa"/>
            <w:gridSpan w:val="4"/>
            <w:tcBorders>
              <w:bottom w:val="single" w:sz="5" w:space="0" w:color="696969"/>
            </w:tcBorders>
          </w:tcPr>
          <w:p w:rsidR="00482E1B" w:rsidRDefault="00482E1B"/>
        </w:tc>
      </w:tr>
      <w:tr w:rsidR="00482E1B">
        <w:trPr>
          <w:trHeight w:hRule="exact" w:val="444"/>
        </w:trPr>
        <w:tc>
          <w:tcPr>
            <w:tcW w:w="5975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688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4054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Нефтяное сырье (678)</w:t>
            </w:r>
          </w:p>
        </w:tc>
      </w:tr>
      <w:tr w:rsidR="00482E1B">
        <w:trPr>
          <w:trHeight w:hRule="exact" w:val="688"/>
        </w:trPr>
        <w:tc>
          <w:tcPr>
            <w:tcW w:w="5975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6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20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показателя (тонн)</w:t>
            </w:r>
          </w:p>
        </w:tc>
        <w:tc>
          <w:tcPr>
            <w:tcW w:w="20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 (тыс.руб.)</w:t>
            </w:r>
          </w:p>
        </w:tc>
      </w:tr>
      <w:tr w:rsidR="00482E1B">
        <w:trPr>
          <w:trHeight w:hRule="exact" w:val="330"/>
        </w:trPr>
        <w:tc>
          <w:tcPr>
            <w:tcW w:w="597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6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20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20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</w:tr>
      <w:tr w:rsidR="00482E1B">
        <w:trPr>
          <w:trHeight w:hRule="exact" w:val="2106"/>
        </w:trPr>
        <w:tc>
          <w:tcPr>
            <w:tcW w:w="597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Операция, подлежащая налогообложению акцизами на территории Российской Федерации, по направлению нефтяного сырья, принадлежащего организации, имеющей свидетельство о регистрации лица, совершающего операции по переработке нефтяного сырья, на праве 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ости, на переработку на производственных мощностях, принадлежащих такой организации либо организации, непосредственно оказывающей такой организации услуги по переработке нефтяного сырья (пп. 34 п. 1 ст. 182 НК РФ)</w:t>
            </w:r>
          </w:p>
        </w:tc>
        <w:tc>
          <w:tcPr>
            <w:tcW w:w="6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500</w:t>
            </w:r>
          </w:p>
        </w:tc>
        <w:tc>
          <w:tcPr>
            <w:tcW w:w="20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1232"/>
        </w:trPr>
        <w:tc>
          <w:tcPr>
            <w:tcW w:w="597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Сумма акциза, подлежащая вычету,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 именно: сумма акциза, исчисленная налогоплательщиком, имеющим свидетельство о регистрации лица, совершающего операции по переработке нефтяного сырья, в период действия указанного свидетельства при совершении им операции (пп. 34 п. 1 ст. 182 НК РФ)</w:t>
            </w:r>
          </w:p>
        </w:tc>
        <w:tc>
          <w:tcPr>
            <w:tcW w:w="6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510</w:t>
            </w:r>
          </w:p>
        </w:tc>
        <w:tc>
          <w:tcPr>
            <w:tcW w:w="20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0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30"/>
        </w:trPr>
        <w:tc>
          <w:tcPr>
            <w:tcW w:w="597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Величина КДЕМП</w:t>
            </w:r>
          </w:p>
        </w:tc>
        <w:tc>
          <w:tcPr>
            <w:tcW w:w="6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515</w:t>
            </w:r>
          </w:p>
        </w:tc>
        <w:tc>
          <w:tcPr>
            <w:tcW w:w="20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0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4"/>
        </w:trPr>
        <w:tc>
          <w:tcPr>
            <w:tcW w:w="597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 (стр. 550 = сумма строк 500 - 515)</w:t>
            </w:r>
          </w:p>
        </w:tc>
        <w:tc>
          <w:tcPr>
            <w:tcW w:w="6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550</w:t>
            </w:r>
          </w:p>
        </w:tc>
        <w:tc>
          <w:tcPr>
            <w:tcW w:w="20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</w:tbl>
    <w:p w:rsidR="00482E1B" w:rsidRDefault="00482E1B">
      <w:pPr>
        <w:sectPr w:rsidR="00482E1B">
          <w:pgSz w:w="11906" w:h="16838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1017"/>
        <w:gridCol w:w="115"/>
        <w:gridCol w:w="1361"/>
        <w:gridCol w:w="100"/>
        <w:gridCol w:w="803"/>
        <w:gridCol w:w="1805"/>
        <w:gridCol w:w="100"/>
        <w:gridCol w:w="2264"/>
        <w:gridCol w:w="788"/>
        <w:gridCol w:w="1805"/>
      </w:tblGrid>
      <w:tr w:rsidR="00482E1B">
        <w:trPr>
          <w:trHeight w:hRule="exact" w:val="1017"/>
        </w:trPr>
        <w:tc>
          <w:tcPr>
            <w:tcW w:w="10717" w:type="dxa"/>
            <w:gridSpan w:val="11"/>
            <w:tcBorders>
              <w:bottom w:val="single" w:sz="5" w:space="0" w:color="696969"/>
            </w:tcBorders>
            <w:shd w:val="clear" w:color="auto" w:fill="auto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>Подраздел 5.1</w:t>
            </w:r>
          </w:p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По сумме акциза на нефтяное сырье (678), направленного на переработку, за декабрь 2021 года</w:t>
            </w:r>
          </w:p>
        </w:tc>
      </w:tr>
      <w:tr w:rsidR="00482E1B">
        <w:trPr>
          <w:trHeight w:hRule="exact" w:val="444"/>
        </w:trPr>
        <w:tc>
          <w:tcPr>
            <w:tcW w:w="8124" w:type="dxa"/>
            <w:gridSpan w:val="9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Наименование показателя</w:t>
            </w:r>
          </w:p>
        </w:tc>
        <w:tc>
          <w:tcPr>
            <w:tcW w:w="788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1805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</w:t>
            </w:r>
          </w:p>
        </w:tc>
      </w:tr>
      <w:tr w:rsidR="00482E1B">
        <w:trPr>
          <w:trHeight w:hRule="exact" w:val="788"/>
        </w:trPr>
        <w:tc>
          <w:tcPr>
            <w:tcW w:w="8124" w:type="dxa"/>
            <w:gridSpan w:val="9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  <w:tc>
          <w:tcPr>
            <w:tcW w:w="1805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482E1B"/>
        </w:tc>
      </w:tr>
      <w:tr w:rsidR="00482E1B">
        <w:trPr>
          <w:trHeight w:hRule="exact" w:val="344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</w:tr>
      <w:tr w:rsidR="00482E1B">
        <w:trPr>
          <w:trHeight w:hRule="exact" w:val="344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начисленного акциза на нефтяное сырье по декларации. руб.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30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вычета с учетом Кдемп по декларации, руб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605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4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акциза на нефтяное сырье к возмещению по декларации, руб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610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4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Количество нефтяного сырья, направленного на переработку VНС (тонн)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615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</w:t>
            </w:r>
          </w:p>
        </w:tc>
      </w:tr>
      <w:tr w:rsidR="00482E1B">
        <w:trPr>
          <w:trHeight w:hRule="exact" w:val="1002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Объемы высокооктанового (по исследовательскому методу 92 и более) автомобильного бензина класса 5, произведенные из направленного на переработку нефтяного сырья и иного сырья, принадлежащих налогоплательщику на праве собственности, и реализованные налогопл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ательщиком в налоговом периоде на территории РФ (Vаб) (тонн)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620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</w:t>
            </w:r>
          </w:p>
        </w:tc>
      </w:tr>
      <w:tr w:rsidR="00482E1B">
        <w:trPr>
          <w:trHeight w:hRule="exact" w:val="1218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Объемы высокооктанового (по исследовательскому методу 92 и более) автомобильного бензина класса 5, произведенные из направленного на переработку нефтяного сырья и иного сырья, принадле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жащих налогоплательщику на праве собственности, и реализованные налогоплательщиком в налоговом периоде в базисах поставки, расположенных на территории Дальневосточного федерального округа, по перечню таких базисов поставки (VДВ_аб) (тонн)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625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</w:t>
            </w:r>
          </w:p>
        </w:tc>
      </w:tr>
      <w:tr w:rsidR="00482E1B">
        <w:trPr>
          <w:trHeight w:hRule="exact" w:val="1003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Дизельного топлива класса 5 соответственно, произведенные из направленного на переработку нефтяного сырья и иного сырья, принадлежащих налогоплательщику на праве собственности, и реализованные налогоплательщиком в налоговом периоде на территории РФ (Vдт) (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тонн)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630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</w:t>
            </w:r>
          </w:p>
        </w:tc>
      </w:tr>
      <w:tr w:rsidR="00482E1B">
        <w:trPr>
          <w:trHeight w:hRule="exact" w:val="1233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Дизельного топлива класса 5 соответственно, произведенные из направленного на переработку нефтяного сырья и иного сырья, принадлежащих налогоплательщику на праве собственности, и реализованные налогоплательщиком в налоговом периодев базиса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 поставки, расположенных на территории Дальневосточного федерального округа, по перечню таких базисов поставки (VДВ_дт) (тонн)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635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</w:t>
            </w:r>
          </w:p>
        </w:tc>
      </w:tr>
      <w:tr w:rsidR="00482E1B">
        <w:trPr>
          <w:trHeight w:hRule="exact" w:val="329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Инвестиционная надбавка для нефтеперерабатывающих заводов КИН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636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44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Расчет общей величины демпферного коэффициента (Кдемп)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640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482E1B">
        <w:trPr>
          <w:trHeight w:hRule="exact" w:val="329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Расчет величины демпферного коэффициента (Кдемп) по автомобильному бензину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645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X</w:t>
            </w:r>
          </w:p>
        </w:tc>
      </w:tr>
      <w:tr w:rsidR="00482E1B">
        <w:trPr>
          <w:trHeight w:hRule="exact" w:val="344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Расчет величины демпферного коэффициента (Кдемп) по дизельному топливу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650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X</w:t>
            </w:r>
          </w:p>
        </w:tc>
      </w:tr>
      <w:tr w:rsidR="00482E1B">
        <w:trPr>
          <w:trHeight w:hRule="exact" w:val="344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ДАБ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655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</w:tr>
      <w:tr w:rsidR="00482E1B">
        <w:trPr>
          <w:trHeight w:hRule="exact" w:val="330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ЦАБЭКСП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660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</w:tr>
      <w:tr w:rsidR="00482E1B">
        <w:trPr>
          <w:trHeight w:hRule="exact" w:val="344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ЦАБВР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665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</w:tr>
      <w:tr w:rsidR="00482E1B">
        <w:trPr>
          <w:trHeight w:hRule="exact" w:val="344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ДДТ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670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</w:tr>
      <w:tr w:rsidR="00482E1B">
        <w:trPr>
          <w:trHeight w:hRule="exact" w:val="329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ЦДТЭКСП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675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</w:tr>
      <w:tr w:rsidR="00482E1B">
        <w:trPr>
          <w:trHeight w:hRule="exact" w:val="344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ЦДТВР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680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</w:tr>
      <w:tr w:rsidR="00482E1B">
        <w:trPr>
          <w:trHeight w:hRule="exact" w:val="329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КАБ_комп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685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</w:tr>
      <w:tr w:rsidR="00482E1B">
        <w:trPr>
          <w:trHeight w:hRule="exact" w:val="344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КТД_комп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690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</w:tr>
      <w:tr w:rsidR="00482E1B">
        <w:trPr>
          <w:trHeight w:hRule="exact" w:val="344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ДДВ_АБ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695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</w:tr>
      <w:tr w:rsidR="00482E1B">
        <w:trPr>
          <w:trHeight w:hRule="exact" w:val="330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ДДВ_ДТ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700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</w:tr>
      <w:tr w:rsidR="00482E1B">
        <w:trPr>
          <w:trHeight w:hRule="exact" w:val="344"/>
        </w:trPr>
        <w:tc>
          <w:tcPr>
            <w:tcW w:w="8124" w:type="dxa"/>
            <w:gridSpan w:val="9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 (стр. 750 = сумма строк 600 - 700)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750</w:t>
            </w:r>
          </w:p>
        </w:tc>
        <w:tc>
          <w:tcPr>
            <w:tcW w:w="1805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0,000</w:t>
            </w:r>
          </w:p>
        </w:tc>
      </w:tr>
      <w:tr w:rsidR="00482E1B">
        <w:trPr>
          <w:trHeight w:hRule="exact" w:val="444"/>
        </w:trPr>
        <w:tc>
          <w:tcPr>
            <w:tcW w:w="10717" w:type="dxa"/>
            <w:gridSpan w:val="11"/>
            <w:tcBorders>
              <w:top w:val="single" w:sz="5" w:space="0" w:color="696969"/>
            </w:tcBorders>
          </w:tcPr>
          <w:p w:rsidR="00482E1B" w:rsidRDefault="00482E1B"/>
        </w:tc>
      </w:tr>
      <w:tr w:rsidR="00482E1B">
        <w:trPr>
          <w:trHeight w:hRule="exact" w:val="344"/>
        </w:trPr>
        <w:tc>
          <w:tcPr>
            <w:tcW w:w="559" w:type="dxa"/>
          </w:tcPr>
          <w:p w:rsidR="00482E1B" w:rsidRDefault="00482E1B"/>
        </w:tc>
        <w:tc>
          <w:tcPr>
            <w:tcW w:w="1017" w:type="dxa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«        »</w:t>
            </w:r>
          </w:p>
        </w:tc>
        <w:tc>
          <w:tcPr>
            <w:tcW w:w="115" w:type="dxa"/>
          </w:tcPr>
          <w:p w:rsidR="00482E1B" w:rsidRDefault="00482E1B"/>
        </w:tc>
        <w:tc>
          <w:tcPr>
            <w:tcW w:w="1361" w:type="dxa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" w:type="dxa"/>
          </w:tcPr>
          <w:p w:rsidR="00482E1B" w:rsidRDefault="00482E1B"/>
        </w:tc>
        <w:tc>
          <w:tcPr>
            <w:tcW w:w="803" w:type="dxa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     г.</w:t>
            </w:r>
          </w:p>
        </w:tc>
        <w:tc>
          <w:tcPr>
            <w:tcW w:w="1905" w:type="dxa"/>
            <w:gridSpan w:val="2"/>
          </w:tcPr>
          <w:p w:rsidR="00482E1B" w:rsidRDefault="00482E1B"/>
        </w:tc>
        <w:tc>
          <w:tcPr>
            <w:tcW w:w="4857" w:type="dxa"/>
            <w:gridSpan w:val="3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Руководитель налогового органа </w:t>
            </w:r>
          </w:p>
        </w:tc>
      </w:tr>
      <w:tr w:rsidR="00482E1B">
        <w:trPr>
          <w:trHeight w:hRule="exact" w:val="344"/>
        </w:trPr>
        <w:tc>
          <w:tcPr>
            <w:tcW w:w="1691" w:type="dxa"/>
            <w:gridSpan w:val="3"/>
          </w:tcPr>
          <w:p w:rsidR="00482E1B" w:rsidRDefault="00482E1B"/>
        </w:tc>
        <w:tc>
          <w:tcPr>
            <w:tcW w:w="1361" w:type="dxa"/>
            <w:tcBorders>
              <w:top w:val="single" w:sz="5" w:space="0" w:color="000000"/>
            </w:tcBorders>
          </w:tcPr>
          <w:p w:rsidR="00482E1B" w:rsidRDefault="00482E1B"/>
        </w:tc>
        <w:tc>
          <w:tcPr>
            <w:tcW w:w="7665" w:type="dxa"/>
            <w:gridSpan w:val="7"/>
          </w:tcPr>
          <w:p w:rsidR="00482E1B" w:rsidRDefault="00482E1B"/>
        </w:tc>
      </w:tr>
      <w:tr w:rsidR="00482E1B">
        <w:trPr>
          <w:trHeight w:hRule="exact" w:val="329"/>
        </w:trPr>
        <w:tc>
          <w:tcPr>
            <w:tcW w:w="5760" w:type="dxa"/>
            <w:gridSpan w:val="7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" w:type="dxa"/>
          </w:tcPr>
          <w:p w:rsidR="00482E1B" w:rsidRDefault="00482E1B"/>
        </w:tc>
        <w:tc>
          <w:tcPr>
            <w:tcW w:w="4857" w:type="dxa"/>
            <w:gridSpan w:val="3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center"/>
          </w:tcPr>
          <w:p w:rsidR="00482E1B" w:rsidRDefault="00482E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82E1B">
        <w:trPr>
          <w:trHeight w:hRule="exact" w:val="344"/>
        </w:trPr>
        <w:tc>
          <w:tcPr>
            <w:tcW w:w="5760" w:type="dxa"/>
            <w:gridSpan w:val="7"/>
            <w:tcBorders>
              <w:top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( Ф.И.О., номер телефона исполнителя)</w:t>
            </w:r>
          </w:p>
        </w:tc>
        <w:tc>
          <w:tcPr>
            <w:tcW w:w="100" w:type="dxa"/>
          </w:tcPr>
          <w:p w:rsidR="00482E1B" w:rsidRDefault="00482E1B"/>
        </w:tc>
        <w:tc>
          <w:tcPr>
            <w:tcW w:w="4857" w:type="dxa"/>
            <w:gridSpan w:val="3"/>
            <w:tcBorders>
              <w:top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</w:tcPr>
          <w:p w:rsidR="00482E1B" w:rsidRDefault="005A16C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(подпись, Ф.И.О. руководителя)</w:t>
            </w:r>
          </w:p>
        </w:tc>
      </w:tr>
    </w:tbl>
    <w:p w:rsidR="005A16C2" w:rsidRDefault="005A16C2"/>
    <w:sectPr w:rsidR="005A16C2">
      <w:pgSz w:w="11906" w:h="16838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</w:compat>
  <w:rsids>
    <w:rsidRoot w:val="00482E1B"/>
    <w:rsid w:val="00482E1B"/>
    <w:rsid w:val="005A16C2"/>
    <w:rsid w:val="0079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3366</Words>
  <Characters>19192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2019.3.3 from 20 July 2019</Company>
  <LinksUpToDate>false</LinksUpToDate>
  <CharactersWithSpaces>22513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user</dc:creator>
  <cp:lastModifiedBy>user</cp:lastModifiedBy>
  <cp:revision>2</cp:revision>
  <dcterms:created xsi:type="dcterms:W3CDTF">2022-03-30T08:51:00Z</dcterms:created>
  <dcterms:modified xsi:type="dcterms:W3CDTF">2022-03-30T08:51:00Z</dcterms:modified>
</cp:coreProperties>
</file>