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611"/>
        <w:gridCol w:w="1347"/>
        <w:gridCol w:w="3052"/>
        <w:gridCol w:w="114"/>
        <w:gridCol w:w="1691"/>
        <w:gridCol w:w="559"/>
        <w:gridCol w:w="114"/>
      </w:tblGrid>
      <w:tr w:rsidR="004375BA">
        <w:trPr>
          <w:trHeight w:hRule="exact" w:val="444"/>
        </w:trPr>
        <w:tc>
          <w:tcPr>
            <w:tcW w:w="229" w:type="dxa"/>
          </w:tcPr>
          <w:p w:rsidR="004375BA" w:rsidRDefault="004375BA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ОТЧЕТНОСТЬ ФЕДЕРАЛЬНОЙ НАЛОГОВОЙ СЛУЖБЫ</w:t>
            </w:r>
          </w:p>
        </w:tc>
        <w:tc>
          <w:tcPr>
            <w:tcW w:w="114" w:type="dxa"/>
          </w:tcPr>
          <w:p w:rsidR="004375BA" w:rsidRDefault="004375BA"/>
        </w:tc>
      </w:tr>
      <w:tr w:rsidR="004375BA">
        <w:trPr>
          <w:trHeight w:hRule="exact" w:val="229"/>
        </w:trPr>
        <w:tc>
          <w:tcPr>
            <w:tcW w:w="229" w:type="dxa"/>
          </w:tcPr>
          <w:p w:rsidR="004375BA" w:rsidRDefault="004375BA"/>
        </w:tc>
        <w:tc>
          <w:tcPr>
            <w:tcW w:w="10374" w:type="dxa"/>
            <w:gridSpan w:val="6"/>
            <w:tcBorders>
              <w:top w:val="double" w:sz="5" w:space="0" w:color="000000"/>
              <w:bottom w:val="single" w:sz="5" w:space="0" w:color="000000"/>
            </w:tcBorders>
          </w:tcPr>
          <w:p w:rsidR="004375BA" w:rsidRDefault="004375BA"/>
        </w:tc>
        <w:tc>
          <w:tcPr>
            <w:tcW w:w="114" w:type="dxa"/>
          </w:tcPr>
          <w:p w:rsidR="004375BA" w:rsidRDefault="004375BA"/>
        </w:tc>
      </w:tr>
      <w:tr w:rsidR="004375BA">
        <w:trPr>
          <w:trHeight w:hRule="exact" w:val="1247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103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ОТЧЕТ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О НАЛОГОВОЙ БАЗЕ И СТРУКТУРЕ НАЧИСЛЕНИЙ ПО АКЦИЗАМ НА НЕФТЕПРОДУКТЫ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 состоянию на 01.10.2022 года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115"/>
        </w:trPr>
        <w:tc>
          <w:tcPr>
            <w:tcW w:w="229" w:type="dxa"/>
          </w:tcPr>
          <w:p w:rsidR="004375BA" w:rsidRDefault="004375BA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4375BA" w:rsidRDefault="004375BA"/>
        </w:tc>
        <w:tc>
          <w:tcPr>
            <w:tcW w:w="114" w:type="dxa"/>
            <w:tcBorders>
              <w:top w:val="single" w:sz="5" w:space="0" w:color="000000"/>
            </w:tcBorders>
          </w:tcPr>
          <w:p w:rsidR="004375BA" w:rsidRDefault="004375BA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4375BA" w:rsidRDefault="004375BA"/>
        </w:tc>
        <w:tc>
          <w:tcPr>
            <w:tcW w:w="114" w:type="dxa"/>
          </w:tcPr>
          <w:p w:rsidR="004375BA" w:rsidRDefault="004375BA"/>
        </w:tc>
      </w:tr>
      <w:tr w:rsidR="004375BA">
        <w:trPr>
          <w:trHeight w:hRule="exact" w:val="1017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Представляется (утверждается):</w:t>
            </w:r>
          </w:p>
        </w:tc>
        <w:tc>
          <w:tcPr>
            <w:tcW w:w="43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Сроки представления (утверждения)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375BA" w:rsidRDefault="004375BA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формы</w:t>
            </w:r>
          </w:p>
        </w:tc>
        <w:tc>
          <w:tcPr>
            <w:tcW w:w="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5NP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2865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- Федеральной налоговой службе;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Межрегиональными инспекциями ФНС России по крупнейшим налогоплательщикам – в Управления ФНС России по соответствующим субъектам Российской Федерации 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Межрайонными инспекциями ФНС России по крупнейшим налогоплательщикам – в межрегиональные инспекции ФНС России по крупнейшим налогоплательщикам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Управлениями ФНС России по субъектам Российской Федерации финансовым органам субъекта Российской Федерации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Инсп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екциями ФНС России - органам местного самоуправления</w:t>
            </w:r>
          </w:p>
        </w:tc>
        <w:tc>
          <w:tcPr>
            <w:tcW w:w="439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1 квартал – не позднее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22.06.2022;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1 полугодие - не позднее 21.09.2022; 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 9 месяцев - не позднее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21.12.2022;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за 2022 год - не позднее: 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22.03.2023;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– 06.07.2023.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2 рабочих дня ранее срока,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установленного для УФНС России по субъектам Российской Федерации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 4 рабочих дней ранее срока, установленного для УФНС России по субъектам Российской Федерации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 позднее 28.07.2023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375BA" w:rsidRDefault="004375BA"/>
        </w:tc>
        <w:tc>
          <w:tcPr>
            <w:tcW w:w="22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Форма № 5-НП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Утверждена 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приказом ФНС России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30.12.2021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СД-7-1/1193@</w:t>
            </w:r>
          </w:p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редакции приказа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 01.02.2022</w:t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 ЕД-7-1/75@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ab/>
            </w:r>
          </w:p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Квартальная - Ежемесячная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2522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375BA" w:rsidRDefault="004375BA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/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2508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/>
        </w:tc>
        <w:tc>
          <w:tcPr>
            <w:tcW w:w="439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/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4375BA" w:rsidRDefault="004375BA"/>
        </w:tc>
        <w:tc>
          <w:tcPr>
            <w:tcW w:w="22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/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229"/>
        </w:trPr>
        <w:tc>
          <w:tcPr>
            <w:tcW w:w="229" w:type="dxa"/>
          </w:tcPr>
          <w:p w:rsidR="004375BA" w:rsidRDefault="004375BA"/>
        </w:tc>
        <w:tc>
          <w:tcPr>
            <w:tcW w:w="8010" w:type="dxa"/>
            <w:gridSpan w:val="3"/>
            <w:tcBorders>
              <w:top w:val="single" w:sz="5" w:space="0" w:color="000000"/>
              <w:bottom w:val="single" w:sz="5" w:space="0" w:color="000000"/>
            </w:tcBorders>
          </w:tcPr>
          <w:p w:rsidR="004375BA" w:rsidRDefault="004375BA"/>
        </w:tc>
        <w:tc>
          <w:tcPr>
            <w:tcW w:w="114" w:type="dxa"/>
            <w:tcBorders>
              <w:bottom w:val="single" w:sz="5" w:space="0" w:color="000000"/>
            </w:tcBorders>
          </w:tcPr>
          <w:p w:rsidR="004375BA" w:rsidRDefault="004375BA"/>
        </w:tc>
        <w:tc>
          <w:tcPr>
            <w:tcW w:w="2250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 w:rsidR="004375BA" w:rsidRDefault="004375BA"/>
        </w:tc>
        <w:tc>
          <w:tcPr>
            <w:tcW w:w="114" w:type="dxa"/>
          </w:tcPr>
          <w:p w:rsidR="004375BA" w:rsidRDefault="004375BA"/>
        </w:tc>
      </w:tr>
      <w:tr w:rsidR="004375BA">
        <w:trPr>
          <w:trHeight w:hRule="exact" w:val="559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902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Республика, край, область, автономное образование, город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01</w:t>
            </w: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Республика Адыгея (Адыгея)</w:t>
            </w: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903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Налоговый орган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1691"/>
        </w:trPr>
        <w:tc>
          <w:tcPr>
            <w:tcW w:w="229" w:type="dxa"/>
            <w:tcBorders>
              <w:right w:val="single" w:sz="5" w:space="0" w:color="000000"/>
            </w:tcBorders>
          </w:tcPr>
          <w:p w:rsidR="004375BA" w:rsidRDefault="004375BA"/>
        </w:tc>
        <w:tc>
          <w:tcPr>
            <w:tcW w:w="3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Муниципальное образование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4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75BA" w:rsidRDefault="004375BA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  <w:tcBorders>
              <w:left w:val="single" w:sz="5" w:space="0" w:color="000000"/>
            </w:tcBorders>
          </w:tcPr>
          <w:p w:rsidR="004375BA" w:rsidRDefault="004375BA"/>
        </w:tc>
      </w:tr>
      <w:tr w:rsidR="004375BA">
        <w:trPr>
          <w:trHeight w:hRule="exact" w:val="114"/>
        </w:trPr>
        <w:tc>
          <w:tcPr>
            <w:tcW w:w="229" w:type="dxa"/>
          </w:tcPr>
          <w:p w:rsidR="004375BA" w:rsidRDefault="004375BA"/>
        </w:tc>
        <w:tc>
          <w:tcPr>
            <w:tcW w:w="10374" w:type="dxa"/>
            <w:gridSpan w:val="6"/>
            <w:tcBorders>
              <w:top w:val="single" w:sz="5" w:space="0" w:color="000000"/>
            </w:tcBorders>
          </w:tcPr>
          <w:p w:rsidR="004375BA" w:rsidRDefault="004375BA"/>
        </w:tc>
        <w:tc>
          <w:tcPr>
            <w:tcW w:w="114" w:type="dxa"/>
          </w:tcPr>
          <w:p w:rsidR="004375BA" w:rsidRDefault="004375BA"/>
        </w:tc>
      </w:tr>
      <w:tr w:rsidR="004375BA">
        <w:trPr>
          <w:trHeight w:hRule="exact" w:val="115"/>
        </w:trPr>
        <w:tc>
          <w:tcPr>
            <w:tcW w:w="229" w:type="dxa"/>
          </w:tcPr>
          <w:p w:rsidR="004375BA" w:rsidRDefault="004375BA"/>
        </w:tc>
        <w:tc>
          <w:tcPr>
            <w:tcW w:w="10374" w:type="dxa"/>
            <w:gridSpan w:val="6"/>
            <w:tcBorders>
              <w:bottom w:val="double" w:sz="5" w:space="0" w:color="000000"/>
            </w:tcBorders>
            <w:shd w:val="clear" w:color="auto" w:fill="auto"/>
            <w:vAlign w:val="bottom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14" w:type="dxa"/>
          </w:tcPr>
          <w:p w:rsidR="004375BA" w:rsidRDefault="004375BA"/>
        </w:tc>
      </w:tr>
    </w:tbl>
    <w:p w:rsidR="004375BA" w:rsidRDefault="004375BA">
      <w:pPr>
        <w:sectPr w:rsidR="004375BA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788"/>
        <w:gridCol w:w="2708"/>
        <w:gridCol w:w="2708"/>
        <w:gridCol w:w="2378"/>
        <w:gridCol w:w="2651"/>
      </w:tblGrid>
      <w:tr w:rsidR="004375BA">
        <w:trPr>
          <w:trHeight w:hRule="exact" w:val="788"/>
        </w:trPr>
        <w:tc>
          <w:tcPr>
            <w:tcW w:w="15632" w:type="dxa"/>
            <w:gridSpan w:val="6"/>
            <w:shd w:val="clear" w:color="auto" w:fill="auto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1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дизельное топливо (630) и прямогонный бензин (650)</w:t>
            </w:r>
          </w:p>
        </w:tc>
      </w:tr>
      <w:tr w:rsidR="004375BA">
        <w:trPr>
          <w:trHeight w:hRule="exact" w:val="229"/>
        </w:trPr>
        <w:tc>
          <w:tcPr>
            <w:tcW w:w="15632" w:type="dxa"/>
            <w:gridSpan w:val="6"/>
            <w:tcBorders>
              <w:bottom w:val="single" w:sz="5" w:space="0" w:color="696969"/>
            </w:tcBorders>
          </w:tcPr>
          <w:p w:rsidR="004375BA" w:rsidRDefault="004375BA"/>
        </w:tc>
      </w:tr>
      <w:tr w:rsidR="004375BA">
        <w:trPr>
          <w:trHeight w:hRule="exact" w:val="444"/>
        </w:trPr>
        <w:tc>
          <w:tcPr>
            <w:tcW w:w="439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416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Дизельное топливо (630)</w:t>
            </w:r>
          </w:p>
        </w:tc>
        <w:tc>
          <w:tcPr>
            <w:tcW w:w="502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Прямогонный бензин (650)</w:t>
            </w:r>
          </w:p>
        </w:tc>
      </w:tr>
      <w:tr w:rsidR="004375BA">
        <w:trPr>
          <w:trHeight w:hRule="exact" w:val="1018"/>
        </w:trPr>
        <w:tc>
          <w:tcPr>
            <w:tcW w:w="439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(тыс.руб.)</w:t>
            </w:r>
          </w:p>
        </w:tc>
      </w:tr>
      <w:tr w:rsidR="004375BA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</w:tr>
      <w:tr w:rsidR="004375BA">
        <w:trPr>
          <w:trHeight w:hRule="exact" w:val="55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получение (приобретение в собственность) прямогонного бензина организацией, имеющей свидетельство на переработку прямогонного бензина (пп. 21 п. 1 ст. 182 НК РФ) 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лицом, имеющим свидетельство на переработку прямогонного бензина, произведенного в результате оказания указанному лицу услуг по переработке сырья (материалов), принадлежащего ему на праве собственности (пп.23 п.1 ст.182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оприходование прямогонного бензина в структуре лица, имеющего свидетельство на переработку прямогонного бензина, произведенного в указанной структуре из сырья (материалов), принадлежащего указанному лицу на праве собственности (пп.24 п.1 ст.182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1662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производство прямогонного бензина, при реализации прямогонного бензина налогоплательщику, имеющему свидетельство на переработку прямогонного бензина (п. 13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447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имеющим свидетельство на производство прямогонного бензина, при совершении с прямогонным бензином операций, указанных в пп.7 и 12 п.1 ст.182 НК РФ (п. 14 ст. 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пп.21,23,24 п.1 ст.182 НК РФ, в случае использования полученного (оприходованного) прямогонного бензина для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зводства продукции нефтехимии, отвечающей требованиям, установленным в абзаце втором п.15 ст. 200 НК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2536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пп.21 п.1 ст.182 НК РФ, в случае использования полученного прямогонного бензина для производства продукции нефте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химии, не отвечающей требованиям, установленным в абзаце втором п. 15 ст. 200 НК РФ или для производства бензола, параксилола, ортоксилола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переработку прямогонного бензина, при совершении операций, указанных в пп.23,24 п.1 ст.182 НК, в случае использования оприходованного прямогонного бензина не для производства продукци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 нефтехимии, отвечающей требованиям, установленным в абзаце втором п.15 ст.200 НК РФ и (или) его выбытия (п.15 ст.200 НК РФ)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 xml:space="preserve">Реализация подакцизных товаров, помещенных под таможенную процедуру экспорта, за пределы территории Российской Федерации при отсутствии банковской гарантии (договора поручительства), и реализация подакцизных товаров на территорию государств - членов ЕАЭС,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003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21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166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2321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788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77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29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30"/>
        </w:trPr>
        <w:tc>
          <w:tcPr>
            <w:tcW w:w="439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37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65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4375BA" w:rsidRDefault="004375BA">
      <w:pPr>
        <w:sectPr w:rsidR="004375BA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903"/>
        <w:gridCol w:w="1920"/>
        <w:gridCol w:w="1920"/>
        <w:gridCol w:w="1920"/>
        <w:gridCol w:w="1920"/>
        <w:gridCol w:w="1920"/>
        <w:gridCol w:w="1977"/>
      </w:tblGrid>
      <w:tr w:rsidR="004375BA">
        <w:trPr>
          <w:trHeight w:hRule="exact" w:val="903"/>
        </w:trPr>
        <w:tc>
          <w:tcPr>
            <w:tcW w:w="15632" w:type="dxa"/>
            <w:gridSpan w:val="8"/>
            <w:shd w:val="clear" w:color="auto" w:fill="auto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2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Акцизы на моторные масла для дизельных и (или) карбюраторных (инжекторных) двигателей (640), 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автомобильный бензин класса 5 (665) и автомобильный бензин, не соответствующий классу 5 (676)</w:t>
            </w:r>
          </w:p>
        </w:tc>
      </w:tr>
      <w:tr w:rsidR="004375BA">
        <w:trPr>
          <w:trHeight w:hRule="exact" w:val="114"/>
        </w:trPr>
        <w:tc>
          <w:tcPr>
            <w:tcW w:w="15632" w:type="dxa"/>
            <w:gridSpan w:val="8"/>
            <w:tcBorders>
              <w:bottom w:val="single" w:sz="5" w:space="0" w:color="696969"/>
            </w:tcBorders>
          </w:tcPr>
          <w:p w:rsidR="004375BA" w:rsidRDefault="004375BA"/>
        </w:tc>
      </w:tr>
      <w:tr w:rsidR="004375BA">
        <w:trPr>
          <w:trHeight w:hRule="exact" w:val="1018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Моторные масла для дизельных и (или) карбюраторных (инжекторных) двигателей (640)</w:t>
            </w:r>
          </w:p>
        </w:tc>
        <w:tc>
          <w:tcPr>
            <w:tcW w:w="3840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 класса 5 (665)</w:t>
            </w:r>
          </w:p>
        </w:tc>
        <w:tc>
          <w:tcPr>
            <w:tcW w:w="3897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Автомобильный бензин, не соответствующий классу 5 (676)</w:t>
            </w:r>
          </w:p>
        </w:tc>
      </w:tr>
      <w:tr w:rsidR="004375BA">
        <w:trPr>
          <w:trHeight w:hRule="exact" w:val="673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4375BA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</w:tr>
      <w:tr w:rsidR="004375BA">
        <w:trPr>
          <w:trHeight w:hRule="exact" w:val="77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подлежащая вычету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2322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экспорта, при отсутствии банковской гарантии (договора поручительства) и реализация в государства – члены ЕАЭС, по которой в установленный срок не представлены документы, подтверждающие факт эк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спорта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44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экспорта которых (в том числе в государства – члены ЕАЭС)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877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490"/>
        </w:trPr>
        <w:tc>
          <w:tcPr>
            <w:tcW w:w="315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подакцизных товаров,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90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490"/>
        </w:trPr>
        <w:tc>
          <w:tcPr>
            <w:tcW w:w="315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90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920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97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</w:tr>
      <w:tr w:rsidR="004375BA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нефтепродуктам, факт реэкспорта которых  документально подтвержден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00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329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253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Республика Армения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254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30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3"/>
        </w:trPr>
        <w:tc>
          <w:tcPr>
            <w:tcW w:w="315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90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290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197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4375BA" w:rsidRDefault="004375BA">
      <w:pPr>
        <w:sectPr w:rsidR="004375BA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559"/>
        <w:gridCol w:w="1347"/>
        <w:gridCol w:w="1361"/>
        <w:gridCol w:w="1347"/>
        <w:gridCol w:w="1361"/>
        <w:gridCol w:w="1247"/>
        <w:gridCol w:w="1232"/>
        <w:gridCol w:w="1246"/>
        <w:gridCol w:w="1232"/>
        <w:gridCol w:w="1247"/>
        <w:gridCol w:w="1304"/>
      </w:tblGrid>
      <w:tr w:rsidR="004375BA">
        <w:trPr>
          <w:trHeight w:hRule="exact" w:val="673"/>
        </w:trPr>
        <w:tc>
          <w:tcPr>
            <w:tcW w:w="15632" w:type="dxa"/>
            <w:gridSpan w:val="12"/>
            <w:shd w:val="clear" w:color="auto" w:fill="auto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3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Акцизы на авиационный керосин (671), бензол (672), параксилол (673), ортоксилол (674) и природный газ (735)</w:t>
            </w:r>
          </w:p>
        </w:tc>
      </w:tr>
      <w:tr w:rsidR="004375BA">
        <w:trPr>
          <w:trHeight w:hRule="exact" w:val="230"/>
        </w:trPr>
        <w:tc>
          <w:tcPr>
            <w:tcW w:w="15632" w:type="dxa"/>
            <w:gridSpan w:val="12"/>
            <w:tcBorders>
              <w:bottom w:val="single" w:sz="5" w:space="0" w:color="696969"/>
            </w:tcBorders>
          </w:tcPr>
          <w:p w:rsidR="004375BA" w:rsidRDefault="004375BA"/>
        </w:tc>
      </w:tr>
      <w:tr w:rsidR="004375BA">
        <w:trPr>
          <w:trHeight w:hRule="exact" w:val="444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Показатели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Код строки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Авиационный керосин (671)</w:t>
            </w:r>
          </w:p>
        </w:tc>
        <w:tc>
          <w:tcPr>
            <w:tcW w:w="270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Бензол (672)</w:t>
            </w:r>
          </w:p>
        </w:tc>
        <w:tc>
          <w:tcPr>
            <w:tcW w:w="2479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Параксилол (673)</w:t>
            </w:r>
          </w:p>
        </w:tc>
        <w:tc>
          <w:tcPr>
            <w:tcW w:w="247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Ортоксилол (674)</w:t>
            </w:r>
          </w:p>
        </w:tc>
        <w:tc>
          <w:tcPr>
            <w:tcW w:w="2551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Природный газ (735)</w:t>
            </w:r>
          </w:p>
        </w:tc>
      </w:tr>
      <w:tr w:rsidR="004375BA">
        <w:trPr>
          <w:trHeight w:hRule="exact" w:val="688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(тонн)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Значение показателя (тыс.руб.)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 (тыс.руб.)</w:t>
            </w:r>
          </w:p>
        </w:tc>
      </w:tr>
      <w:tr w:rsidR="004375BA">
        <w:trPr>
          <w:trHeight w:hRule="exact" w:val="32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Б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9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10</w:t>
            </w:r>
          </w:p>
        </w:tc>
      </w:tr>
      <w:tr w:rsidR="004375BA">
        <w:trPr>
          <w:trHeight w:hRule="exact" w:val="65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Операции, подлежащие налогообложению акцизами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300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920C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920C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4375BA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них: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4375BA">
        <w:trPr>
          <w:trHeight w:hRule="exact" w:val="1705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получение (приобретение в собственность) бензола, параксилола, ортоксилола лицом, имеющим свидетельство на совершение операций с бензолом, параксилолом или ортоксилолом (пп. 25 п. 1 ст. 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2579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оприходование бензола, параксилола, ортоксилола лицом, имеющим свидетельство на совершение операций с бензолом, параксилолом или ортоксилолом, произведенных в результате оказания указанному лицу услуг по переработке сырья (материалов), принадлежащего 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на праве собственности (пп. 26 п. 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315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2393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- оприходование бензола, параксилола, ортоксилола в структуре лица, имеющего свидетельство на совершение операций с бензолом, параксилолом или ортоксилолом, произведенных в указанной структуре из сырья (материалов), принадлежащего указанному лицу на праве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собственности (пп. 27 п.1 ст.182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320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472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Сумма акциза, подлежащая вычету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330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920C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  <w:tr w:rsidR="004375BA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из нее: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</w:p>
        </w:tc>
      </w:tr>
      <w:tr w:rsidR="004375BA">
        <w:trPr>
          <w:trHeight w:hRule="exact" w:val="1476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я полученного авиационного керосина для заправки воздушных судов, эксплуатируемых налогоплательщиком 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335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920C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1461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</w:tr>
      <w:tr w:rsidR="004375BA">
        <w:trPr>
          <w:trHeight w:hRule="exact" w:val="1562"/>
        </w:trPr>
        <w:tc>
          <w:tcPr>
            <w:tcW w:w="214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 РФ, в случае неиспользова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ния полученного авиационного керосина для заправки воздушных судов, эксплуатируемых налогоплательщиком</w:t>
            </w:r>
          </w:p>
        </w:tc>
        <w:tc>
          <w:tcPr>
            <w:tcW w:w="559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6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47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1547"/>
        </w:trPr>
        <w:tc>
          <w:tcPr>
            <w:tcW w:w="214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559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6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46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32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247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304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</w:tr>
      <w:tr w:rsidR="004375BA">
        <w:trPr>
          <w:trHeight w:hRule="exact" w:val="222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включенным в Реестр эксплуатантов гражданской авиации Российской Федерации и имеющим сертификат (свидетельство) эксплуатанта, при совершении операции, указанной в пп.28 п.1 ст.182 НК, в и увеличенные на велич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ину Вавиа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345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lastRenderedPageBreak/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го) бензола, параксилола, ортоксилола для производства продукции нефтехимии и (или) выбытия (п.20 ст.200 НК РФ)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2751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- сумма акциза, начисленная налогоплательщиком, имеющим свидетельство на совершение операций с бензолом, параксилолом или ортоксилолом, при совершении операций, указанных в пп. 25, 26 и 27 п.1 ст.182 НК РФ, в случае использования полученного (оприходованно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го) бензола, параксилола, ортоксилола не для производства продукции нефтехимии и (или) выбытия (п.20 ст.200 НК РФ) 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355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X</w:t>
            </w:r>
          </w:p>
        </w:tc>
      </w:tr>
      <w:tr w:rsidR="004375BA">
        <w:trPr>
          <w:trHeight w:hRule="exact" w:val="287"/>
        </w:trPr>
        <w:tc>
          <w:tcPr>
            <w:tcW w:w="214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Контрольная сумма</w:t>
            </w:r>
          </w:p>
        </w:tc>
        <w:tc>
          <w:tcPr>
            <w:tcW w:w="559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390</w:t>
            </w:r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920C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920C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Х</w:t>
            </w:r>
            <w:bookmarkStart w:id="0" w:name="_GoBack"/>
            <w:bookmarkEnd w:id="0"/>
          </w:p>
        </w:tc>
        <w:tc>
          <w:tcPr>
            <w:tcW w:w="13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6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6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32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247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  <w:tc>
          <w:tcPr>
            <w:tcW w:w="130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</w:rPr>
              <w:t>0</w:t>
            </w:r>
          </w:p>
        </w:tc>
      </w:tr>
    </w:tbl>
    <w:p w:rsidR="004375BA" w:rsidRDefault="004375BA">
      <w:pPr>
        <w:sectPr w:rsidR="004375BA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3"/>
        <w:gridCol w:w="1691"/>
        <w:gridCol w:w="2708"/>
        <w:gridCol w:w="2880"/>
      </w:tblGrid>
      <w:tr w:rsidR="004375BA">
        <w:trPr>
          <w:trHeight w:hRule="exact" w:val="788"/>
        </w:trPr>
        <w:tc>
          <w:tcPr>
            <w:tcW w:w="15632" w:type="dxa"/>
            <w:gridSpan w:val="4"/>
            <w:shd w:val="clear" w:color="auto" w:fill="auto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>Раздел 4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средние дистилляты (677)</w:t>
            </w:r>
          </w:p>
        </w:tc>
      </w:tr>
      <w:tr w:rsidR="004375BA">
        <w:trPr>
          <w:trHeight w:hRule="exact" w:val="229"/>
        </w:trPr>
        <w:tc>
          <w:tcPr>
            <w:tcW w:w="15632" w:type="dxa"/>
            <w:gridSpan w:val="4"/>
            <w:tcBorders>
              <w:bottom w:val="single" w:sz="5" w:space="0" w:color="696969"/>
            </w:tcBorders>
          </w:tcPr>
          <w:p w:rsidR="004375BA" w:rsidRDefault="004375BA"/>
        </w:tc>
      </w:tr>
      <w:tr w:rsidR="004375BA">
        <w:trPr>
          <w:trHeight w:hRule="exact" w:val="444"/>
        </w:trPr>
        <w:tc>
          <w:tcPr>
            <w:tcW w:w="8353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1691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5588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Средние дистилляты (677)</w:t>
            </w:r>
          </w:p>
        </w:tc>
      </w:tr>
      <w:tr w:rsidR="004375BA">
        <w:trPr>
          <w:trHeight w:hRule="exact" w:val="688"/>
        </w:trPr>
        <w:tc>
          <w:tcPr>
            <w:tcW w:w="8353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691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4375BA">
        <w:trPr>
          <w:trHeight w:hRule="exact" w:val="330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4375BA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Операции, подлежащие налогообложению акцизами (за исключением экспорта)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реализация на территории Российской Федерации лицами произведенных ими средних дистиллятов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российской организацией, имеющей свидетельство о регистрации организации, совершающей операции со средними дистиллятами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пп. 29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87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на территории Российской Федерации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погрузочно-разгрузочной, и (или) российскими организациями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указанным российским организациям на праве собственности и вывезенных за пределы Российской Федерации в качестве припасов (пп. 30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447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реализация российской организацией, включенной в реестр поставщиков бункерного топлива, средних дистиллятов, приобретенных в собственность и помещенных под таможенную процедуру экспорта, за пределы территории Российской Федерации иностранным организациям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выполняющим работы (оказывающим услуги), связанные с геологическим изучением, разведкой и (или) добычей углеводородного сырья на континентальном шельфе Российской Федерации (пп. 31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получение средних дистиллятов организацией, имеющей свидетельство о регистрации лица, совершающего операции по переработке средних дистиллятов (пп. 32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оприходование организацией, имеющей свидетельство о регистрации лица, совершающего операции по переработке средних дистиллятов, средних дистиллятов, произведенных в результате оказания ей услуг по переработке сырья (материалов), принадлежащего указанной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организации на праве собственности (пп. 33 п. 1 ст. 182 НК РФ)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акциза, подлежащая вычету: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нее: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- сумма акциза, исчисленная налогоплательщиком, при совершении операции, указанной в пп. 29 п. 1 ст. 182 НК РФ, в случае использования полученных дистиллятов для бункеровки (заправки) водных судов и (или) установок и сооружений, указанных в статье 179.5 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, принадлежащих налогоплательщику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29 п. 1 ст. 182 НК РФ, в случае неиспользования полученных дистиллятов для бункеровки (заправки) водных судов и (или) установок и сооружений, принадлежащих налогоплате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льщику на праве собственности или ином законном основании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при совершении операции, указанной в пп. 30 п. 1 ст. 182 НК РФ, в случае реализации российской организацией, включенной в реестр поставщиков бункерного топлива, и (или) российской организацией, имеющей лиценз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ию на осуществление погрузочно-разгрузочной деятельности, или лицом, заключившим с организацией, включенной в реестр поставщиков бункерного топлива, соответствующие договоры, средних дистиллятов иностранной организации и вывозе указанных средних дистиллято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в за пределы Российской Федерации в качестве припасов на водных судах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00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30 п. 1 ст. 182 НК РФ, в отношении средних дистиллятов, которые не были вывезены за пределы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ийской Федерации в качестве припасов на водных судах, а также использованных на иные цели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случае реализации российской организацией, включенной в реестр поставщи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(или) добычей углеводородного сырья на континентальном шел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ьфе Российской Федерации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п. 1 ст. 182 НК РФ, в случаях выбытия (использования) средних дистиллятов, отличных от 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иностранной организации, выполняющей работы, связанные с геологическим изучением, разведкой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662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 сумма акциза, исчисленная налогоплательщиком, имеющим свидетельство на совершение операций со средними дистиллятами, при совершении операции, указанной в пп. 31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1 ст. 182 НК РФ, в случаях выбытия (использования) средних дистиллятов, отличных от реализации российской организацией, включенной в реестр поставщиков бункерного топлива, за пределы Российской Федерации в соответствии с таможенной процедурой экспорта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остранной организации, выполняющей работы, связанные с геологическим изучением, разведкой и (или) добычей углеводородного сырья на континентальном шельфе Российской Федерации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- сумма акциза, исчисленная налогоплательщиком, имеющим свидетельство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регистрации лица, совершающего операции по переработке средних дистиллятов, при совершении операций, указанных в пп. 32 и 33 п. 1 ст. 182 НК РФ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Реализация нефтепродуктов, помещенных под таможенную процедуру экспорта за пределы территории Российской Федерации, а также реализация подакцизных товаров на территорию государств - 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474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78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нную процедуру экспорта, при отсутствии банковской гарантии и реализация в государства – члены ЕАЭС, по которой в установленный срок не представлены документы, подтверждающие факт 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475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ллятам, факт экспорта которых (в том числе в государства – члены ЕАЭС) документально подтвержден 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476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218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Реализация средних дистиллятов, помещенных под таможенную процедуру реэкспорта, за пределы территории Российской Федерации при отсутствии банковской гарантии (договора поручительства), а также реализация подакцизных товаров за пределы территории Российской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Федерации, по которой в установленный срок не представлены документы, подтверждающие факт реэкспорта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477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573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акциза, предъявленная к возмещению, по средним дистиллятам, факт реэкспорта которых документально подтвержден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478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55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Ввоз подакцизных товаров на территорию Российской Федерации с территории государств-членов ЕАЭС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479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Беларусь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Казахстан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481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Республики Армения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482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29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Киргизской Республики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353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1691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490</w:t>
            </w:r>
          </w:p>
        </w:tc>
        <w:tc>
          <w:tcPr>
            <w:tcW w:w="270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88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4375BA" w:rsidRDefault="004375BA">
      <w:pPr>
        <w:sectPr w:rsidR="004375BA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688"/>
        <w:gridCol w:w="2020"/>
        <w:gridCol w:w="2034"/>
      </w:tblGrid>
      <w:tr w:rsidR="004375BA">
        <w:trPr>
          <w:trHeight w:hRule="exact" w:val="788"/>
        </w:trPr>
        <w:tc>
          <w:tcPr>
            <w:tcW w:w="10717" w:type="dxa"/>
            <w:gridSpan w:val="4"/>
            <w:shd w:val="clear" w:color="auto" w:fill="auto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lastRenderedPageBreak/>
              <w:t xml:space="preserve">Раздел 5 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Акциз на нефтяное сырье (678)</w:t>
            </w:r>
          </w:p>
        </w:tc>
      </w:tr>
      <w:tr w:rsidR="004375BA">
        <w:trPr>
          <w:trHeight w:hRule="exact" w:val="229"/>
        </w:trPr>
        <w:tc>
          <w:tcPr>
            <w:tcW w:w="10717" w:type="dxa"/>
            <w:gridSpan w:val="4"/>
            <w:tcBorders>
              <w:bottom w:val="single" w:sz="5" w:space="0" w:color="696969"/>
            </w:tcBorders>
          </w:tcPr>
          <w:p w:rsidR="004375BA" w:rsidRDefault="004375BA"/>
        </w:tc>
      </w:tr>
      <w:tr w:rsidR="004375BA">
        <w:trPr>
          <w:trHeight w:hRule="exact" w:val="444"/>
        </w:trPr>
        <w:tc>
          <w:tcPr>
            <w:tcW w:w="597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Показатели</w:t>
            </w:r>
          </w:p>
        </w:tc>
        <w:tc>
          <w:tcPr>
            <w:tcW w:w="6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4054" w:type="dxa"/>
            <w:gridSpan w:val="2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Нефтяное сырье (678)</w:t>
            </w:r>
          </w:p>
        </w:tc>
      </w:tr>
      <w:tr w:rsidR="004375BA">
        <w:trPr>
          <w:trHeight w:hRule="exact" w:val="688"/>
        </w:trPr>
        <w:tc>
          <w:tcPr>
            <w:tcW w:w="597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6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 показателя (тонн)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Сумма акциза (тыс.руб.)</w:t>
            </w:r>
          </w:p>
        </w:tc>
      </w:tr>
      <w:tr w:rsidR="004375BA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2</w:t>
            </w:r>
          </w:p>
        </w:tc>
      </w:tr>
      <w:tr w:rsidR="004375BA">
        <w:trPr>
          <w:trHeight w:hRule="exact" w:val="2106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Операция, подлежащая налогообложению акцизами на территории Российской Федерации, по направлению нефтяного сырья, принадлежащего организации, имеющей свидетельство о регистрации лица, совершающего операции по переработке нефтяного сырья, на праве собственн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ости, на переработку на производственных мощностях, принадлежащих такой организации либо организации, непосредственно оказывающей такой организации услуги по переработке нефтяного сырья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1232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Сумма акциза, подлежащая вычету,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 именно: сумма акциза, исчисленная налогоплательщиком, имеющим свидетельство о регистрации лица, совершающего операции по переработке нефтяного сырья, в период действия указанного свидетельства при совершении им операции (пп. 34 п. 1 ст. 182 НК РФ)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30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Величина КДЕМП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515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573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29"/>
        </w:trPr>
        <w:tc>
          <w:tcPr>
            <w:tcW w:w="597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6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550</w:t>
            </w:r>
          </w:p>
        </w:tc>
        <w:tc>
          <w:tcPr>
            <w:tcW w:w="2020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2034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</w:tbl>
    <w:p w:rsidR="004375BA" w:rsidRDefault="004375BA">
      <w:pPr>
        <w:sectPr w:rsidR="004375BA">
          <w:pgSz w:w="11906" w:h="16838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017"/>
        <w:gridCol w:w="115"/>
        <w:gridCol w:w="1361"/>
        <w:gridCol w:w="100"/>
        <w:gridCol w:w="803"/>
        <w:gridCol w:w="1805"/>
        <w:gridCol w:w="100"/>
        <w:gridCol w:w="2264"/>
        <w:gridCol w:w="788"/>
        <w:gridCol w:w="1805"/>
      </w:tblGrid>
      <w:tr w:rsidR="004375BA">
        <w:trPr>
          <w:trHeight w:hRule="exact" w:val="115"/>
        </w:trPr>
        <w:tc>
          <w:tcPr>
            <w:tcW w:w="10717" w:type="dxa"/>
            <w:gridSpan w:val="11"/>
          </w:tcPr>
          <w:p w:rsidR="004375BA" w:rsidRDefault="004375BA"/>
        </w:tc>
      </w:tr>
      <w:tr w:rsidR="004375BA">
        <w:trPr>
          <w:trHeight w:hRule="exact" w:val="1232"/>
        </w:trPr>
        <w:tc>
          <w:tcPr>
            <w:tcW w:w="10717" w:type="dxa"/>
            <w:gridSpan w:val="11"/>
            <w:tcBorders>
              <w:bottom w:val="single" w:sz="5" w:space="0" w:color="696969"/>
            </w:tcBorders>
            <w:shd w:val="clear" w:color="auto" w:fill="auto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 заполнении строк Отчета по акцизам на нефтяное сырье (678) подраздела 5.1 следует руководствоваться нижеследующим:</w:t>
            </w:r>
          </w:p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Подраздел 5.1 формируется по налогоплательщикам за отчетный период не нарастающим итогом.за сентябрь 2022 года</w:t>
            </w:r>
          </w:p>
        </w:tc>
      </w:tr>
      <w:tr w:rsidR="004375BA">
        <w:trPr>
          <w:trHeight w:hRule="exact" w:val="458"/>
        </w:trPr>
        <w:tc>
          <w:tcPr>
            <w:tcW w:w="8124" w:type="dxa"/>
            <w:gridSpan w:val="9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788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805" w:type="dxa"/>
            <w:vMerge w:val="restart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Значение</w:t>
            </w:r>
          </w:p>
        </w:tc>
      </w:tr>
      <w:tr w:rsidR="004375BA">
        <w:trPr>
          <w:trHeight w:hRule="exact" w:val="788"/>
        </w:trPr>
        <w:tc>
          <w:tcPr>
            <w:tcW w:w="8124" w:type="dxa"/>
            <w:gridSpan w:val="9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788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  <w:tc>
          <w:tcPr>
            <w:tcW w:w="1805" w:type="dxa"/>
            <w:vMerge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4375BA"/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1</w:t>
            </w:r>
          </w:p>
        </w:tc>
      </w:tr>
      <w:tr w:rsidR="004375BA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начисленного акциза на нефтяное сырье по декларации.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вычета с учетом Кдемп и Кинв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 акциза на нефтяное сырье к возмещению по декларации, руб.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нефтяного сырья, направленного на переработку VНС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4375BA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Объемы высокооктанового (по исследовательскому методу 92 и более) автомобильного бензина класса 5, произведенные из направленного на переработку нефтяного сырья и иного сырья,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ринадлежащих налогоплательщику на праве собственности, и реализованные налогоплательщиком в налоговом периоде на территории РФ (Vаб) (тонн)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4375BA">
        <w:trPr>
          <w:trHeight w:hRule="exact" w:val="100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Дизельного топлива класса 5 соответственно, произведенные из направленного на переработку нефтяного сырья и иного сырья, принадлежащих налогоплательщику на праве собственности, и реализованные налогоплательщиком в налоговом периоде на территории РФ (Vдт)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тонн)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Инвестиционная надбавка для нефтеперерабатывающих заводов КИН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Расчет общей величины демпферного коэффициента (Кдемп)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4375BA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автомобильному бензину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651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Расчет величины демпферного коэффициента (Кдемп) по дизельному топливу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652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ДАБ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3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ЦАБВР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ДДТ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ЦДТЭКСП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ЦДТВР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29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КАБ_комп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685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44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КТД_комп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</w:t>
            </w:r>
          </w:p>
        </w:tc>
      </w:tr>
      <w:tr w:rsidR="004375BA">
        <w:trPr>
          <w:trHeight w:hRule="exact" w:val="330"/>
        </w:trPr>
        <w:tc>
          <w:tcPr>
            <w:tcW w:w="8124" w:type="dxa"/>
            <w:gridSpan w:val="9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Контрольная сумма</w:t>
            </w:r>
          </w:p>
        </w:tc>
        <w:tc>
          <w:tcPr>
            <w:tcW w:w="788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750</w:t>
            </w:r>
          </w:p>
        </w:tc>
        <w:tc>
          <w:tcPr>
            <w:tcW w:w="1805" w:type="dxa"/>
            <w:tcBorders>
              <w:top w:val="single" w:sz="5" w:space="0" w:color="696969"/>
              <w:left w:val="single" w:sz="5" w:space="0" w:color="696969"/>
              <w:bottom w:val="single" w:sz="5" w:space="0" w:color="696969"/>
              <w:right w:val="single" w:sz="5" w:space="0" w:color="696969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0,000</w:t>
            </w:r>
          </w:p>
        </w:tc>
      </w:tr>
      <w:tr w:rsidR="004375BA">
        <w:trPr>
          <w:trHeight w:hRule="exact" w:val="458"/>
        </w:trPr>
        <w:tc>
          <w:tcPr>
            <w:tcW w:w="10717" w:type="dxa"/>
            <w:gridSpan w:val="11"/>
            <w:tcBorders>
              <w:top w:val="single" w:sz="5" w:space="0" w:color="696969"/>
            </w:tcBorders>
          </w:tcPr>
          <w:p w:rsidR="004375BA" w:rsidRDefault="004375BA"/>
        </w:tc>
      </w:tr>
      <w:tr w:rsidR="004375BA">
        <w:trPr>
          <w:trHeight w:hRule="exact" w:val="344"/>
        </w:trPr>
        <w:tc>
          <w:tcPr>
            <w:tcW w:w="559" w:type="dxa"/>
          </w:tcPr>
          <w:p w:rsidR="004375BA" w:rsidRDefault="004375BA"/>
        </w:tc>
        <w:tc>
          <w:tcPr>
            <w:tcW w:w="1017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«        »</w:t>
            </w:r>
          </w:p>
        </w:tc>
        <w:tc>
          <w:tcPr>
            <w:tcW w:w="115" w:type="dxa"/>
          </w:tcPr>
          <w:p w:rsidR="004375BA" w:rsidRDefault="004375BA"/>
        </w:tc>
        <w:tc>
          <w:tcPr>
            <w:tcW w:w="1361" w:type="dxa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4375BA" w:rsidRDefault="004375BA"/>
        </w:tc>
        <w:tc>
          <w:tcPr>
            <w:tcW w:w="803" w:type="dxa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г.</w:t>
            </w:r>
          </w:p>
        </w:tc>
        <w:tc>
          <w:tcPr>
            <w:tcW w:w="1905" w:type="dxa"/>
            <w:gridSpan w:val="2"/>
          </w:tcPr>
          <w:p w:rsidR="004375BA" w:rsidRDefault="004375BA"/>
        </w:tc>
        <w:tc>
          <w:tcPr>
            <w:tcW w:w="4857" w:type="dxa"/>
            <w:gridSpan w:val="3"/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bottom"/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Руководитель налогового органа </w:t>
            </w:r>
          </w:p>
        </w:tc>
      </w:tr>
      <w:tr w:rsidR="004375BA">
        <w:trPr>
          <w:trHeight w:hRule="exact" w:val="330"/>
        </w:trPr>
        <w:tc>
          <w:tcPr>
            <w:tcW w:w="1691" w:type="dxa"/>
            <w:gridSpan w:val="3"/>
          </w:tcPr>
          <w:p w:rsidR="004375BA" w:rsidRDefault="004375BA"/>
        </w:tc>
        <w:tc>
          <w:tcPr>
            <w:tcW w:w="1361" w:type="dxa"/>
            <w:tcBorders>
              <w:top w:val="single" w:sz="5" w:space="0" w:color="000000"/>
            </w:tcBorders>
          </w:tcPr>
          <w:p w:rsidR="004375BA" w:rsidRDefault="004375BA"/>
        </w:tc>
        <w:tc>
          <w:tcPr>
            <w:tcW w:w="7665" w:type="dxa"/>
            <w:gridSpan w:val="7"/>
          </w:tcPr>
          <w:p w:rsidR="004375BA" w:rsidRDefault="004375BA"/>
        </w:tc>
      </w:tr>
      <w:tr w:rsidR="004375BA">
        <w:trPr>
          <w:trHeight w:hRule="exact" w:val="343"/>
        </w:trPr>
        <w:tc>
          <w:tcPr>
            <w:tcW w:w="5760" w:type="dxa"/>
            <w:gridSpan w:val="7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" w:type="dxa"/>
          </w:tcPr>
          <w:p w:rsidR="004375BA" w:rsidRDefault="004375BA"/>
        </w:tc>
        <w:tc>
          <w:tcPr>
            <w:tcW w:w="4857" w:type="dxa"/>
            <w:gridSpan w:val="3"/>
            <w:tcBorders>
              <w:bottom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  <w:vAlign w:val="center"/>
          </w:tcPr>
          <w:p w:rsidR="004375BA" w:rsidRDefault="004375B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</w:tr>
      <w:tr w:rsidR="004375BA">
        <w:trPr>
          <w:trHeight w:hRule="exact" w:val="330"/>
        </w:trPr>
        <w:tc>
          <w:tcPr>
            <w:tcW w:w="5760" w:type="dxa"/>
            <w:gridSpan w:val="7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( Ф.И.О., номер телефона исполнителя)</w:t>
            </w:r>
          </w:p>
        </w:tc>
        <w:tc>
          <w:tcPr>
            <w:tcW w:w="100" w:type="dxa"/>
          </w:tcPr>
          <w:p w:rsidR="004375BA" w:rsidRDefault="004375BA"/>
        </w:tc>
        <w:tc>
          <w:tcPr>
            <w:tcW w:w="4857" w:type="dxa"/>
            <w:gridSpan w:val="3"/>
            <w:tcBorders>
              <w:top w:val="single" w:sz="5" w:space="0" w:color="000000"/>
            </w:tcBorders>
            <w:shd w:val="clear" w:color="auto" w:fill="FFFFFF"/>
            <w:tcMar>
              <w:top w:w="43" w:type="dxa"/>
              <w:left w:w="43" w:type="dxa"/>
              <w:right w:w="43" w:type="dxa"/>
            </w:tcMar>
          </w:tcPr>
          <w:p w:rsidR="004375BA" w:rsidRDefault="007613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(подпись, Ф.И.О. руководителя)</w:t>
            </w:r>
          </w:p>
        </w:tc>
      </w:tr>
    </w:tbl>
    <w:p w:rsidR="00761398" w:rsidRDefault="00761398"/>
    <w:sectPr w:rsidR="00761398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375BA"/>
    <w:rsid w:val="004375BA"/>
    <w:rsid w:val="00761398"/>
    <w:rsid w:val="009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3240</Words>
  <Characters>18472</Characters>
  <Application>Microsoft Office Word</Application>
  <DocSecurity>0</DocSecurity>
  <Lines>153</Lines>
  <Paragraphs>43</Paragraphs>
  <ScaleCrop>false</ScaleCrop>
  <Company>Stimulsoft Reports 2019.3.3 from 20 July 2019</Company>
  <LinksUpToDate>false</LinksUpToDate>
  <CharactersWithSpaces>21669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Кушхова Лариса Нурбиевна</cp:lastModifiedBy>
  <cp:revision>2</cp:revision>
  <dcterms:created xsi:type="dcterms:W3CDTF">2022-12-21T12:42:00Z</dcterms:created>
  <dcterms:modified xsi:type="dcterms:W3CDTF">2022-12-21T09:45:00Z</dcterms:modified>
</cp:coreProperties>
</file>