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bookmarkStart w:id="0" w:name="_GoBack"/>
      <w:bookmarkEnd w:id="0"/>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1" w:name="sub_140101"/>
      <w:bookmarkStart w:id="2"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1"/>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3" w:name="sub_1501"/>
      <w:bookmarkEnd w:id="2"/>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4" w:name="sub_1502"/>
      <w:bookmarkStart w:id="5" w:name="sub_150101"/>
      <w:bookmarkEnd w:id="3"/>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6" w:name="sub_16"/>
      <w:bookmarkEnd w:id="4"/>
      <w:bookmarkEnd w:id="5"/>
      <w:r w:rsidRPr="00086C31">
        <w:lastRenderedPageBreak/>
        <w:t>1.3. Ограничения, связанные с гражданской службой:</w:t>
      </w:r>
    </w:p>
    <w:p w:rsidR="00086C31" w:rsidRPr="00086C31" w:rsidRDefault="00086C31" w:rsidP="00086C31">
      <w:pPr>
        <w:ind w:firstLine="709"/>
        <w:jc w:val="both"/>
      </w:pPr>
      <w:bookmarkStart w:id="7" w:name="sub_17"/>
      <w:bookmarkEnd w:id="6"/>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7"/>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8" w:name="sub_180101"/>
      <w:r w:rsidRPr="00086C31">
        <w:lastRenderedPageBreak/>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9" w:name="sub_180102"/>
      <w:bookmarkEnd w:id="8"/>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10" w:name="sub_180103"/>
      <w:bookmarkEnd w:id="9"/>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1" w:name="sub_180104"/>
      <w:bookmarkEnd w:id="10"/>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2" w:name="sub_180105"/>
      <w:bookmarkEnd w:id="11"/>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3" w:name="sub_180106"/>
      <w:bookmarkEnd w:id="12"/>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4" w:name="sub_180107"/>
      <w:bookmarkEnd w:id="13"/>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5" w:name="sub_180108"/>
      <w:bookmarkEnd w:id="14"/>
      <w:r w:rsidRPr="00086C31">
        <w:t>8) не совершать поступки, порочащие его честь и достоинство;</w:t>
      </w:r>
    </w:p>
    <w:p w:rsidR="00086C31" w:rsidRPr="00086C31" w:rsidRDefault="00086C31" w:rsidP="00086C31">
      <w:pPr>
        <w:ind w:firstLine="709"/>
        <w:jc w:val="both"/>
      </w:pPr>
      <w:bookmarkStart w:id="16" w:name="sub_180109"/>
      <w:bookmarkEnd w:id="15"/>
      <w:r w:rsidRPr="00086C31">
        <w:t>9) проявлять корректность в обращении с гражданами;</w:t>
      </w:r>
    </w:p>
    <w:p w:rsidR="00086C31" w:rsidRPr="00086C31" w:rsidRDefault="00086C31" w:rsidP="00086C31">
      <w:pPr>
        <w:ind w:firstLine="709"/>
        <w:jc w:val="both"/>
      </w:pPr>
      <w:bookmarkStart w:id="17" w:name="sub_180110"/>
      <w:bookmarkEnd w:id="16"/>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8" w:name="sub_180111"/>
      <w:bookmarkEnd w:id="17"/>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9" w:name="sub_180112"/>
      <w:bookmarkEnd w:id="18"/>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20" w:name="sub_180113"/>
      <w:bookmarkEnd w:id="19"/>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1" w:name="sub_180114"/>
      <w:bookmarkEnd w:id="20"/>
      <w:r w:rsidRPr="00086C31">
        <w:t>14) соблюдать установленные правила публичных выступлений и предоставления служебной информации.</w:t>
      </w:r>
      <w:bookmarkEnd w:id="21"/>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FE6142" w:rsidP="00D50FE0">
            <w:pPr>
              <w:jc w:val="center"/>
              <w:rPr>
                <w:sz w:val="22"/>
                <w:szCs w:val="22"/>
              </w:rPr>
            </w:pPr>
            <w:r>
              <w:rPr>
                <w:sz w:val="22"/>
                <w:szCs w:val="22"/>
              </w:rPr>
              <w:t>5637</w:t>
            </w:r>
            <w:r w:rsidR="002906C7" w:rsidRPr="004D5F43">
              <w:rPr>
                <w:sz w:val="22"/>
                <w:szCs w:val="22"/>
              </w:rPr>
              <w:t xml:space="preserve"> руб.</w:t>
            </w:r>
          </w:p>
        </w:tc>
        <w:tc>
          <w:tcPr>
            <w:tcW w:w="1984" w:type="dxa"/>
          </w:tcPr>
          <w:p w:rsidR="002906C7" w:rsidRPr="004D5F43" w:rsidRDefault="00FE6142" w:rsidP="00220A61">
            <w:pPr>
              <w:jc w:val="center"/>
              <w:rPr>
                <w:sz w:val="22"/>
                <w:szCs w:val="22"/>
              </w:rPr>
            </w:pPr>
            <w:r>
              <w:rPr>
                <w:sz w:val="22"/>
                <w:szCs w:val="22"/>
              </w:rPr>
              <w:t>5075</w:t>
            </w:r>
            <w:r w:rsidR="002906C7" w:rsidRPr="004D5F43">
              <w:rPr>
                <w:sz w:val="22"/>
                <w:szCs w:val="22"/>
              </w:rPr>
              <w:t xml:space="preserve"> руб.</w:t>
            </w:r>
          </w:p>
        </w:tc>
        <w:tc>
          <w:tcPr>
            <w:tcW w:w="1984" w:type="dxa"/>
          </w:tcPr>
          <w:p w:rsidR="002906C7" w:rsidRPr="004D5F43" w:rsidRDefault="00FE6142" w:rsidP="00220A61">
            <w:pPr>
              <w:jc w:val="center"/>
              <w:rPr>
                <w:sz w:val="22"/>
                <w:szCs w:val="22"/>
              </w:rPr>
            </w:pPr>
            <w:r>
              <w:rPr>
                <w:sz w:val="22"/>
                <w:szCs w:val="22"/>
              </w:rPr>
              <w:t>4511</w:t>
            </w:r>
            <w:r w:rsidR="002906C7" w:rsidRPr="004D5F43">
              <w:rPr>
                <w:sz w:val="22"/>
                <w:szCs w:val="22"/>
              </w:rPr>
              <w:t xml:space="preserve"> руб.</w:t>
            </w:r>
          </w:p>
        </w:tc>
        <w:tc>
          <w:tcPr>
            <w:tcW w:w="1703" w:type="dxa"/>
          </w:tcPr>
          <w:p w:rsidR="002906C7" w:rsidRPr="004D5F43" w:rsidRDefault="00FE6142" w:rsidP="003E239D">
            <w:pPr>
              <w:jc w:val="center"/>
              <w:rPr>
                <w:sz w:val="22"/>
                <w:szCs w:val="22"/>
              </w:rPr>
            </w:pPr>
            <w:r>
              <w:rPr>
                <w:sz w:val="22"/>
                <w:szCs w:val="22"/>
              </w:rPr>
              <w:t>4700</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Ежемесячной надбавки к должностному окладу за особые условия государственной </w:t>
            </w:r>
            <w:r w:rsidRPr="004D5F43">
              <w:rPr>
                <w:sz w:val="22"/>
                <w:szCs w:val="22"/>
              </w:rPr>
              <w:lastRenderedPageBreak/>
              <w:t>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lastRenderedPageBreak/>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lastRenderedPageBreak/>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lastRenderedPageBreak/>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5637</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5075</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4511</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4700</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FE6142" w:rsidP="00450B4F">
            <w:pPr>
              <w:jc w:val="center"/>
              <w:rPr>
                <w:sz w:val="22"/>
                <w:szCs w:val="22"/>
              </w:rPr>
            </w:pPr>
            <w:r>
              <w:rPr>
                <w:sz w:val="22"/>
                <w:szCs w:val="22"/>
              </w:rPr>
              <w:t>5075</w:t>
            </w:r>
            <w:r w:rsidR="004A584D" w:rsidRPr="004D5F43">
              <w:rPr>
                <w:sz w:val="22"/>
                <w:szCs w:val="22"/>
              </w:rPr>
              <w:t xml:space="preserve"> руб.</w:t>
            </w:r>
          </w:p>
        </w:tc>
        <w:tc>
          <w:tcPr>
            <w:tcW w:w="2410" w:type="dxa"/>
          </w:tcPr>
          <w:p w:rsidR="004A584D" w:rsidRPr="004D5F43" w:rsidRDefault="00FE6142" w:rsidP="00450B4F">
            <w:pPr>
              <w:jc w:val="center"/>
              <w:rPr>
                <w:sz w:val="22"/>
                <w:szCs w:val="22"/>
              </w:rPr>
            </w:pPr>
            <w:r>
              <w:rPr>
                <w:sz w:val="22"/>
                <w:szCs w:val="22"/>
              </w:rPr>
              <w:t>4322</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5075</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FE6142">
            <w:pPr>
              <w:jc w:val="center"/>
              <w:rPr>
                <w:sz w:val="22"/>
                <w:szCs w:val="22"/>
              </w:rPr>
            </w:pPr>
            <w:r w:rsidRPr="004D5F43">
              <w:rPr>
                <w:sz w:val="22"/>
                <w:szCs w:val="22"/>
              </w:rPr>
              <w:t>Одного должностного оклада</w:t>
            </w:r>
            <w:r>
              <w:rPr>
                <w:sz w:val="22"/>
                <w:szCs w:val="22"/>
              </w:rPr>
              <w:t xml:space="preserve"> (</w:t>
            </w:r>
            <w:r w:rsidR="00FE6142">
              <w:rPr>
                <w:sz w:val="22"/>
                <w:szCs w:val="22"/>
              </w:rPr>
              <w:t>4322</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BC7151" w:rsidP="00522C28">
            <w:pPr>
              <w:autoSpaceDE w:val="0"/>
              <w:autoSpaceDN w:val="0"/>
              <w:adjustRightInd w:val="0"/>
              <w:jc w:val="both"/>
            </w:pPr>
            <w:r>
              <w:t>1319</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BC7151" w:rsidP="00522C28">
            <w:pPr>
              <w:autoSpaceDE w:val="0"/>
              <w:autoSpaceDN w:val="0"/>
              <w:adjustRightInd w:val="0"/>
              <w:jc w:val="both"/>
            </w:pPr>
            <w:r>
              <w:t>1413</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BC7151" w:rsidP="00522C28">
            <w:pPr>
              <w:autoSpaceDE w:val="0"/>
              <w:autoSpaceDN w:val="0"/>
              <w:adjustRightInd w:val="0"/>
              <w:jc w:val="both"/>
            </w:pPr>
            <w:r>
              <w:t xml:space="preserve">1694 </w:t>
            </w:r>
            <w:r w:rsidR="00522C28">
              <w:t>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BC7151" w:rsidP="00522C28">
            <w:pPr>
              <w:autoSpaceDE w:val="0"/>
              <w:autoSpaceDN w:val="0"/>
              <w:adjustRightInd w:val="0"/>
              <w:jc w:val="both"/>
            </w:pPr>
            <w:r>
              <w:t>1788</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lastRenderedPageBreak/>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 xml:space="preserve">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w:t>
      </w:r>
      <w:r w:rsidRPr="00073EA2">
        <w:lastRenderedPageBreak/>
        <w:t>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2"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w:t>
      </w:r>
      <w:r w:rsidRPr="00B95BF6">
        <w:lastRenderedPageBreak/>
        <w:t>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3"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817ED6">
        <w:rPr>
          <w:rFonts w:ascii="Times New Roman" w:hAnsi="Times New Roman"/>
          <w:b/>
          <w:sz w:val="24"/>
          <w:szCs w:val="24"/>
        </w:rPr>
        <w:t>26</w:t>
      </w:r>
      <w:r w:rsidR="002D327B" w:rsidRPr="006B4F15">
        <w:rPr>
          <w:rFonts w:ascii="Times New Roman" w:hAnsi="Times New Roman"/>
          <w:b/>
          <w:sz w:val="24"/>
          <w:szCs w:val="24"/>
        </w:rPr>
        <w:t>.</w:t>
      </w:r>
      <w:r w:rsidR="00B636B3" w:rsidRPr="006B4F15">
        <w:rPr>
          <w:rFonts w:ascii="Times New Roman" w:hAnsi="Times New Roman"/>
          <w:b/>
          <w:sz w:val="24"/>
          <w:szCs w:val="24"/>
        </w:rPr>
        <w:t>0</w:t>
      </w:r>
      <w:r w:rsidR="00817ED6">
        <w:rPr>
          <w:rFonts w:ascii="Times New Roman" w:hAnsi="Times New Roman"/>
          <w:b/>
          <w:sz w:val="24"/>
          <w:szCs w:val="24"/>
        </w:rPr>
        <w:t>7</w:t>
      </w:r>
      <w:r w:rsidR="002D327B" w:rsidRPr="006B4F15">
        <w:rPr>
          <w:rFonts w:ascii="Times New Roman" w:hAnsi="Times New Roman"/>
          <w:b/>
          <w:sz w:val="24"/>
          <w:szCs w:val="24"/>
        </w:rPr>
        <w:t>.20</w:t>
      </w:r>
      <w:r w:rsidR="006B4F15" w:rsidRPr="006B4F15">
        <w:rPr>
          <w:rFonts w:ascii="Times New Roman" w:hAnsi="Times New Roman"/>
          <w:b/>
          <w:sz w:val="24"/>
          <w:szCs w:val="24"/>
        </w:rPr>
        <w:t>2</w:t>
      </w:r>
      <w:r>
        <w:rPr>
          <w:rFonts w:ascii="Times New Roman" w:hAnsi="Times New Roman"/>
          <w:b/>
          <w:sz w:val="24"/>
          <w:szCs w:val="24"/>
        </w:rPr>
        <w:t>2</w:t>
      </w:r>
      <w:r w:rsidR="002D327B" w:rsidRPr="006B4F15">
        <w:rPr>
          <w:rFonts w:ascii="Times New Roman" w:hAnsi="Times New Roman"/>
          <w:b/>
          <w:sz w:val="24"/>
          <w:szCs w:val="24"/>
        </w:rPr>
        <w:t xml:space="preserve"> по </w:t>
      </w:r>
      <w:r w:rsidR="00817ED6">
        <w:rPr>
          <w:rFonts w:ascii="Times New Roman" w:hAnsi="Times New Roman"/>
          <w:b/>
          <w:sz w:val="24"/>
          <w:szCs w:val="24"/>
        </w:rPr>
        <w:t>15</w:t>
      </w:r>
      <w:r w:rsidR="002D327B" w:rsidRPr="006B4F15">
        <w:rPr>
          <w:rFonts w:ascii="Times New Roman" w:hAnsi="Times New Roman"/>
          <w:b/>
          <w:sz w:val="24"/>
          <w:szCs w:val="24"/>
        </w:rPr>
        <w:t>.0</w:t>
      </w:r>
      <w:r w:rsidR="00817ED6">
        <w:rPr>
          <w:rFonts w:ascii="Times New Roman" w:hAnsi="Times New Roman"/>
          <w:b/>
          <w:sz w:val="24"/>
          <w:szCs w:val="24"/>
        </w:rPr>
        <w:t>8</w:t>
      </w:r>
      <w:r w:rsidR="002D327B" w:rsidRPr="006B4F15">
        <w:rPr>
          <w:rFonts w:ascii="Times New Roman" w:hAnsi="Times New Roman"/>
          <w:b/>
          <w:sz w:val="24"/>
          <w:szCs w:val="24"/>
        </w:rPr>
        <w:t>.20</w:t>
      </w:r>
      <w:r w:rsidR="006B4F15" w:rsidRPr="006B4F15">
        <w:rPr>
          <w:rFonts w:ascii="Times New Roman" w:hAnsi="Times New Roman"/>
          <w:b/>
          <w:sz w:val="24"/>
          <w:szCs w:val="24"/>
        </w:rPr>
        <w:t>2</w:t>
      </w:r>
      <w:r>
        <w:rPr>
          <w:rFonts w:ascii="Times New Roman" w:hAnsi="Times New Roman"/>
          <w:b/>
          <w:sz w:val="24"/>
          <w:szCs w:val="24"/>
        </w:rPr>
        <w:t>2</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p w:rsidR="002D327B" w:rsidRPr="006B4F15" w:rsidRDefault="002D327B" w:rsidP="002D327B">
      <w:pPr>
        <w:pStyle w:val="aa"/>
        <w:tabs>
          <w:tab w:val="left" w:pos="567"/>
          <w:tab w:val="left" w:pos="709"/>
        </w:tabs>
        <w:jc w:val="center"/>
        <w:rPr>
          <w:b/>
          <w:sz w:val="24"/>
        </w:rPr>
      </w:pPr>
      <w:r w:rsidRPr="006B4F15">
        <w:rPr>
          <w:b/>
          <w:sz w:val="24"/>
        </w:rPr>
        <w:t>Телефон (8 301 2)</w:t>
      </w:r>
      <w:r w:rsidR="00ED11B6">
        <w:rPr>
          <w:b/>
          <w:sz w:val="24"/>
        </w:rPr>
        <w:t xml:space="preserve"> </w:t>
      </w:r>
      <w:r w:rsidRPr="006B4F15">
        <w:rPr>
          <w:b/>
          <w:sz w:val="24"/>
        </w:rPr>
        <w:t>55-21-78</w:t>
      </w:r>
    </w:p>
    <w:bookmarkEnd w:id="23"/>
    <w:p w:rsidR="002D327B" w:rsidRPr="006B4F15" w:rsidRDefault="002D327B" w:rsidP="009F4E2E">
      <w:pPr>
        <w:ind w:firstLine="708"/>
        <w:jc w:val="both"/>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4"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6B4F15">
        <w:t xml:space="preserve">Предполагаемая дата и время проведения тестирования – 9 часов, </w:t>
      </w:r>
      <w:r w:rsidR="00817ED6">
        <w:t>05</w:t>
      </w:r>
      <w:r w:rsidR="00BC7151">
        <w:t xml:space="preserve"> </w:t>
      </w:r>
      <w:r w:rsidR="00817ED6">
        <w:t>сентября</w:t>
      </w:r>
      <w:r w:rsidRPr="006B4F15">
        <w:t xml:space="preserve"> 20</w:t>
      </w:r>
      <w:r w:rsidR="006B4F15">
        <w:t>2</w:t>
      </w:r>
      <w:r w:rsidR="00ED11B6">
        <w:t>2</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817ED6">
        <w:t>06</w:t>
      </w:r>
      <w:r w:rsidR="002D327B" w:rsidRPr="006B4F15">
        <w:t xml:space="preserve"> </w:t>
      </w:r>
      <w:r w:rsidR="00817ED6">
        <w:t>сентября</w:t>
      </w:r>
      <w:r w:rsidRPr="006B4F15">
        <w:t xml:space="preserve"> 20</w:t>
      </w:r>
      <w:r w:rsidR="006B4F15">
        <w:t>2</w:t>
      </w:r>
      <w:r w:rsidR="00ED11B6">
        <w:t>2</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lastRenderedPageBreak/>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4"/>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C40BC2" w:rsidP="006478E3">
      <w:pPr>
        <w:ind w:firstLine="720"/>
        <w:jc w:val="right"/>
        <w:rPr>
          <w:sz w:val="28"/>
          <w:szCs w:val="28"/>
        </w:rPr>
      </w:pPr>
      <w:proofErr w:type="spellStart"/>
      <w:r>
        <w:rPr>
          <w:sz w:val="28"/>
          <w:szCs w:val="28"/>
        </w:rPr>
        <w:t>И.о.р</w:t>
      </w:r>
      <w:r w:rsidR="006478E3" w:rsidRPr="006478E3">
        <w:rPr>
          <w:sz w:val="28"/>
          <w:szCs w:val="28"/>
        </w:rPr>
        <w:t>уководител</w:t>
      </w:r>
      <w:r>
        <w:rPr>
          <w:sz w:val="28"/>
          <w:szCs w:val="28"/>
        </w:rPr>
        <w:t>я</w:t>
      </w:r>
      <w:proofErr w:type="spellEnd"/>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C40BC2" w:rsidP="006478E3">
      <w:pPr>
        <w:jc w:val="right"/>
        <w:rPr>
          <w:sz w:val="28"/>
          <w:szCs w:val="28"/>
          <w:u w:val="single"/>
        </w:rPr>
      </w:pPr>
      <w:r>
        <w:rPr>
          <w:sz w:val="28"/>
          <w:szCs w:val="28"/>
          <w:u w:val="single"/>
        </w:rPr>
        <w:t>Р.Ж.Бадмаевой</w:t>
      </w:r>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C40BC2" w:rsidP="00240175">
      <w:pPr>
        <w:ind w:firstLine="720"/>
        <w:jc w:val="right"/>
        <w:rPr>
          <w:sz w:val="28"/>
          <w:szCs w:val="28"/>
        </w:rPr>
      </w:pPr>
      <w:proofErr w:type="spellStart"/>
      <w:r>
        <w:rPr>
          <w:sz w:val="28"/>
          <w:szCs w:val="28"/>
        </w:rPr>
        <w:lastRenderedPageBreak/>
        <w:t>И.о.р</w:t>
      </w:r>
      <w:r w:rsidR="00240175" w:rsidRPr="006478E3">
        <w:rPr>
          <w:sz w:val="28"/>
          <w:szCs w:val="28"/>
        </w:rPr>
        <w:t>уководител</w:t>
      </w:r>
      <w:r>
        <w:rPr>
          <w:sz w:val="28"/>
          <w:szCs w:val="28"/>
        </w:rPr>
        <w:t>я</w:t>
      </w:r>
      <w:proofErr w:type="spellEnd"/>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C40BC2" w:rsidP="00240175">
      <w:pPr>
        <w:jc w:val="right"/>
        <w:rPr>
          <w:sz w:val="28"/>
          <w:szCs w:val="28"/>
          <w:u w:val="single"/>
        </w:rPr>
      </w:pPr>
      <w:proofErr w:type="spellStart"/>
      <w:r>
        <w:rPr>
          <w:sz w:val="28"/>
          <w:szCs w:val="28"/>
          <w:u w:val="single"/>
        </w:rPr>
        <w:t>Р.Ж.Бадмаевой</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BD5" w:rsidRDefault="00A95BD5">
      <w:r>
        <w:separator/>
      </w:r>
    </w:p>
  </w:endnote>
  <w:endnote w:type="continuationSeparator" w:id="0">
    <w:p w:rsidR="00A95BD5" w:rsidRDefault="00A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BD5" w:rsidRDefault="00A95BD5">
      <w:r>
        <w:separator/>
      </w:r>
    </w:p>
  </w:footnote>
  <w:footnote w:type="continuationSeparator" w:id="0">
    <w:p w:rsidR="00A95BD5" w:rsidRDefault="00A95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600129">
      <w:rPr>
        <w:noProof/>
      </w:rPr>
      <w:t>17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038AA"/>
    <w:multiLevelType w:val="multilevel"/>
    <w:tmpl w:val="EAB6C81A"/>
    <w:numStyleLink w:val="20"/>
  </w:abstractNum>
  <w:abstractNum w:abstractNumId="6"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E56F2"/>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0129"/>
    <w:rsid w:val="00604FB2"/>
    <w:rsid w:val="00607C84"/>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4F15"/>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95BD5"/>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1EE7"/>
    <w:rsid w:val="00BD42D8"/>
    <w:rsid w:val="00BE5880"/>
    <w:rsid w:val="00BE7F18"/>
    <w:rsid w:val="00C064CC"/>
    <w:rsid w:val="00C068D0"/>
    <w:rsid w:val="00C11CC4"/>
    <w:rsid w:val="00C138A7"/>
    <w:rsid w:val="00C40BC2"/>
    <w:rsid w:val="00C41A29"/>
    <w:rsid w:val="00C4746E"/>
    <w:rsid w:val="00C50B4E"/>
    <w:rsid w:val="00C52E3F"/>
    <w:rsid w:val="00C810EA"/>
    <w:rsid w:val="00C83011"/>
    <w:rsid w:val="00C8566D"/>
    <w:rsid w:val="00C857D5"/>
    <w:rsid w:val="00C90C0B"/>
    <w:rsid w:val="00C96116"/>
    <w:rsid w:val="00C96A77"/>
    <w:rsid w:val="00CB1561"/>
    <w:rsid w:val="00CB3CBC"/>
    <w:rsid w:val="00CC35F7"/>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807FF"/>
    <w:rsid w:val="00E8367B"/>
    <w:rsid w:val="00E874B8"/>
    <w:rsid w:val="00E91BD6"/>
    <w:rsid w:val="00E93910"/>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1598-1161-4E1E-836B-97509F20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8067</Words>
  <Characters>45984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53944</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Цыбиков Чингиз Григорьевич</cp:lastModifiedBy>
  <cp:revision>2</cp:revision>
  <cp:lastPrinted>2018-05-29T03:04:00Z</cp:lastPrinted>
  <dcterms:created xsi:type="dcterms:W3CDTF">2022-07-26T03:28:00Z</dcterms:created>
  <dcterms:modified xsi:type="dcterms:W3CDTF">2022-07-26T03:28:00Z</dcterms:modified>
</cp:coreProperties>
</file>