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BB" w:rsidRPr="00AB2221" w:rsidRDefault="007A3D78" w:rsidP="00B30D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2221">
        <w:rPr>
          <w:b/>
          <w:sz w:val="26"/>
          <w:szCs w:val="26"/>
        </w:rPr>
        <w:t>Условия, основания и порядок</w:t>
      </w:r>
      <w:r w:rsidR="001F11BB" w:rsidRPr="00AB2221">
        <w:rPr>
          <w:b/>
          <w:sz w:val="26"/>
          <w:szCs w:val="26"/>
        </w:rPr>
        <w:t xml:space="preserve"> предоставления отсрочки или рассрочки </w:t>
      </w:r>
    </w:p>
    <w:p w:rsidR="002955F2" w:rsidRPr="00AB2221" w:rsidRDefault="001F11BB" w:rsidP="00B30D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2221">
        <w:rPr>
          <w:b/>
          <w:sz w:val="26"/>
          <w:szCs w:val="26"/>
        </w:rPr>
        <w:t>по уплате налогов и сборов</w:t>
      </w:r>
      <w:r w:rsidR="00FA7AAA" w:rsidRPr="00AB2221">
        <w:rPr>
          <w:b/>
          <w:sz w:val="26"/>
          <w:szCs w:val="26"/>
        </w:rPr>
        <w:t xml:space="preserve">, </w:t>
      </w:r>
      <w:r w:rsidR="00FA7AAA" w:rsidRPr="00AB2221">
        <w:rPr>
          <w:b/>
          <w:color w:val="000000"/>
          <w:sz w:val="26"/>
          <w:szCs w:val="26"/>
        </w:rPr>
        <w:t>страхового взноса, пеней, штрафов, процентов</w:t>
      </w:r>
      <w:r w:rsidR="00A54D27">
        <w:rPr>
          <w:b/>
          <w:color w:val="000000"/>
          <w:sz w:val="26"/>
          <w:szCs w:val="26"/>
        </w:rPr>
        <w:t xml:space="preserve"> для ИП</w:t>
      </w:r>
    </w:p>
    <w:p w:rsidR="001F11BB" w:rsidRDefault="001F11BB" w:rsidP="00B30DCF">
      <w:pPr>
        <w:autoSpaceDE w:val="0"/>
        <w:autoSpaceDN w:val="0"/>
        <w:adjustRightInd w:val="0"/>
        <w:ind w:firstLine="540"/>
        <w:jc w:val="center"/>
      </w:pPr>
    </w:p>
    <w:p w:rsidR="003D3876" w:rsidRPr="00580170" w:rsidRDefault="003D3876" w:rsidP="00B30D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0170">
        <w:rPr>
          <w:b/>
          <w:sz w:val="28"/>
          <w:szCs w:val="28"/>
        </w:rPr>
        <w:t>Общие условия</w:t>
      </w:r>
      <w:r w:rsidR="007A3D78" w:rsidRPr="00580170">
        <w:rPr>
          <w:b/>
          <w:sz w:val="28"/>
          <w:szCs w:val="28"/>
        </w:rPr>
        <w:t xml:space="preserve"> </w:t>
      </w:r>
      <w:r w:rsidR="007A3D78" w:rsidRPr="00580170">
        <w:rPr>
          <w:b/>
          <w:color w:val="000000"/>
          <w:sz w:val="28"/>
          <w:szCs w:val="28"/>
        </w:rPr>
        <w:t>предоставления отсрочки или рассрочки</w:t>
      </w:r>
    </w:p>
    <w:p w:rsidR="003D3876" w:rsidRPr="000835D3" w:rsidRDefault="003D3876" w:rsidP="00B30DCF">
      <w:pPr>
        <w:autoSpaceDE w:val="0"/>
        <w:autoSpaceDN w:val="0"/>
        <w:adjustRightInd w:val="0"/>
        <w:ind w:firstLine="540"/>
        <w:jc w:val="center"/>
      </w:pPr>
    </w:p>
    <w:p w:rsidR="0067110E" w:rsidRPr="000835D3" w:rsidRDefault="0067110E" w:rsidP="00580170">
      <w:pPr>
        <w:autoSpaceDE w:val="0"/>
        <w:autoSpaceDN w:val="0"/>
        <w:adjustRightInd w:val="0"/>
        <w:ind w:firstLine="284"/>
        <w:jc w:val="both"/>
      </w:pPr>
      <w:r w:rsidRPr="000835D3">
        <w:rPr>
          <w:b/>
          <w:bCs/>
        </w:rPr>
        <w:t>Отсрочка</w:t>
      </w:r>
      <w:r w:rsidR="00E321BB" w:rsidRPr="000835D3">
        <w:rPr>
          <w:b/>
          <w:bCs/>
        </w:rPr>
        <w:t xml:space="preserve"> </w:t>
      </w:r>
      <w:r w:rsidRPr="000835D3">
        <w:rPr>
          <w:b/>
          <w:bCs/>
        </w:rPr>
        <w:t xml:space="preserve">- </w:t>
      </w:r>
      <w:r w:rsidRPr="000835D3">
        <w:t>единовременная уплата задолженности в конце срока (до 1 года).</w:t>
      </w:r>
    </w:p>
    <w:p w:rsidR="0067110E" w:rsidRPr="000835D3" w:rsidRDefault="0067110E" w:rsidP="00580170">
      <w:pPr>
        <w:autoSpaceDE w:val="0"/>
        <w:autoSpaceDN w:val="0"/>
        <w:adjustRightInd w:val="0"/>
        <w:ind w:firstLine="284"/>
        <w:jc w:val="both"/>
      </w:pPr>
    </w:p>
    <w:p w:rsidR="00E321BB" w:rsidRPr="000835D3" w:rsidRDefault="0067110E" w:rsidP="00580170">
      <w:pPr>
        <w:autoSpaceDE w:val="0"/>
        <w:autoSpaceDN w:val="0"/>
        <w:adjustRightInd w:val="0"/>
        <w:ind w:firstLine="284"/>
        <w:jc w:val="both"/>
      </w:pPr>
      <w:r w:rsidRPr="000835D3">
        <w:rPr>
          <w:b/>
          <w:bCs/>
        </w:rPr>
        <w:t>Р</w:t>
      </w:r>
      <w:r w:rsidR="00E321BB" w:rsidRPr="000835D3">
        <w:rPr>
          <w:b/>
          <w:bCs/>
        </w:rPr>
        <w:t>ассрочк</w:t>
      </w:r>
      <w:r w:rsidRPr="000835D3">
        <w:rPr>
          <w:b/>
          <w:bCs/>
        </w:rPr>
        <w:t xml:space="preserve">а - </w:t>
      </w:r>
      <w:r w:rsidR="00FB0E3C" w:rsidRPr="000835D3">
        <w:t>поэтапная</w:t>
      </w:r>
      <w:r w:rsidR="00E321BB" w:rsidRPr="000835D3">
        <w:t xml:space="preserve"> уплата</w:t>
      </w:r>
      <w:r w:rsidRPr="000835D3">
        <w:t xml:space="preserve"> задолженности в соответствии с графиком (до 3-х лет)</w:t>
      </w:r>
      <w:r w:rsidR="00E321BB" w:rsidRPr="000835D3">
        <w:t>.</w:t>
      </w:r>
    </w:p>
    <w:p w:rsidR="0067110E" w:rsidRPr="000835D3" w:rsidRDefault="0067110E" w:rsidP="00B30DCF">
      <w:pPr>
        <w:autoSpaceDE w:val="0"/>
        <w:autoSpaceDN w:val="0"/>
        <w:adjustRightInd w:val="0"/>
        <w:ind w:firstLine="709"/>
        <w:jc w:val="both"/>
      </w:pP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>Отсрочка или рассрочка может быть предоставлена:</w:t>
      </w: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 xml:space="preserve">1) по уплате налогов, сборов, страховых взносов, </w:t>
      </w:r>
      <w:r w:rsidRPr="000835D3">
        <w:rPr>
          <w:b/>
        </w:rPr>
        <w:t>срок уплаты которых не наступил</w:t>
      </w:r>
      <w:r w:rsidRPr="000835D3">
        <w:t xml:space="preserve"> - в отношении всей или части подлежащей уплате суммы налога, сбора, страхового взноса;</w:t>
      </w: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 xml:space="preserve">2) по уплате задолженности - в отношении всей или части </w:t>
      </w:r>
      <w:r w:rsidRPr="000835D3">
        <w:rPr>
          <w:b/>
        </w:rPr>
        <w:t>суммы отрицательного сальдо единого налогового счета</w:t>
      </w:r>
      <w:r w:rsidRPr="000835D3">
        <w:t xml:space="preserve"> заинтересованного лица при наличии отрицательного сальдо на день принятия уполномоченным органом решения.</w:t>
      </w:r>
    </w:p>
    <w:p w:rsidR="008C48F0" w:rsidRPr="000835D3" w:rsidRDefault="008C48F0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35D3">
        <w:rPr>
          <w:b/>
          <w:color w:val="000000"/>
        </w:rPr>
        <w:t>Повторное предоставление отсрочки или рассрочки</w:t>
      </w:r>
      <w:r w:rsidRPr="000835D3">
        <w:rPr>
          <w:color w:val="000000"/>
        </w:rPr>
        <w:t xml:space="preserve"> по уплате задолженности и (или) налогов, сборов, страховых взносов, срок уплаты которых не наступил и по которым ранее уполномоченным органом было принято решение о предоставлении отсрочки или рассрочки, </w:t>
      </w:r>
      <w:r w:rsidRPr="000835D3">
        <w:rPr>
          <w:b/>
          <w:color w:val="000000"/>
        </w:rPr>
        <w:t>не допускается</w:t>
      </w:r>
      <w:r w:rsidRPr="000835D3">
        <w:rPr>
          <w:color w:val="000000"/>
        </w:rPr>
        <w:t>.</w:t>
      </w:r>
    </w:p>
    <w:p w:rsidR="00580170" w:rsidRPr="000835D3" w:rsidRDefault="00580170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941B1" w:rsidRDefault="006941B1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0170">
        <w:rPr>
          <w:b/>
          <w:color w:val="000000"/>
          <w:sz w:val="28"/>
          <w:szCs w:val="28"/>
        </w:rPr>
        <w:t>Основания предоставления отсрочки или рассрочки</w:t>
      </w:r>
    </w:p>
    <w:p w:rsidR="00D633AB" w:rsidRPr="000835D3" w:rsidRDefault="00D633AB" w:rsidP="00D633AB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633AB" w:rsidRPr="000835D3" w:rsidRDefault="00D633AB" w:rsidP="00D633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835D3">
        <w:rPr>
          <w:color w:val="000000"/>
        </w:rPr>
        <w:t xml:space="preserve">Отсрочка или рассрочка может быть предоставлена заинтересованному лицу, финансовое положение которого не позволяет уплатить налоги, сборы, страховые взносы, пени, штрафы, проценты в установленный срок, однако имеются достаточные основания полагать, что возможность их уплаты этим лицом возникнет в течение срока, на который предоставляется отсрочка или рассрочка, </w:t>
      </w:r>
      <w:r w:rsidRPr="000835D3">
        <w:rPr>
          <w:b/>
          <w:color w:val="000000"/>
          <w:u w:val="single"/>
        </w:rPr>
        <w:t>при наличии хотя бы одного из следующих оснований:</w:t>
      </w:r>
    </w:p>
    <w:p w:rsidR="007D29FF" w:rsidRPr="000835D3" w:rsidRDefault="007D29FF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8"/>
        <w:tblW w:w="10348" w:type="dxa"/>
        <w:tblInd w:w="-147" w:type="dxa"/>
        <w:tblLook w:val="04A0" w:firstRow="1" w:lastRow="0" w:firstColumn="1" w:lastColumn="0" w:noHBand="0" w:noVBand="1"/>
      </w:tblPr>
      <w:tblGrid>
        <w:gridCol w:w="3119"/>
        <w:gridCol w:w="5504"/>
        <w:gridCol w:w="1725"/>
      </w:tblGrid>
      <w:tr w:rsidR="00A54D27" w:rsidRPr="009A48BF" w:rsidTr="00D2014D">
        <w:trPr>
          <w:trHeight w:val="553"/>
        </w:trPr>
        <w:tc>
          <w:tcPr>
            <w:tcW w:w="3119" w:type="dxa"/>
          </w:tcPr>
          <w:p w:rsidR="00A54D27" w:rsidRPr="00D864A4" w:rsidRDefault="00A54D27" w:rsidP="00A54D27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Основания предоставления отсрочки или рассрочки</w:t>
            </w:r>
          </w:p>
        </w:tc>
        <w:tc>
          <w:tcPr>
            <w:tcW w:w="5504" w:type="dxa"/>
          </w:tcPr>
          <w:p w:rsidR="00A54D27" w:rsidRPr="00D864A4" w:rsidRDefault="00A54D27" w:rsidP="006E2B86">
            <w:pPr>
              <w:pStyle w:val="s1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Прилагаемые документы</w:t>
            </w:r>
          </w:p>
        </w:tc>
        <w:tc>
          <w:tcPr>
            <w:tcW w:w="1725" w:type="dxa"/>
          </w:tcPr>
          <w:p w:rsidR="00A54D27" w:rsidRPr="00D864A4" w:rsidRDefault="00A54D27" w:rsidP="009977FE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Начисление процентов</w:t>
            </w:r>
            <w:r w:rsidR="003A05C3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064BE6">
              <w:rPr>
                <w:b/>
                <w:color w:val="000000"/>
                <w:sz w:val="20"/>
                <w:szCs w:val="20"/>
              </w:rPr>
              <w:t>*</w:t>
            </w:r>
            <w:r w:rsidR="003A05C3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0D1823" w:rsidTr="00D2014D">
        <w:trPr>
          <w:trHeight w:val="2538"/>
        </w:trPr>
        <w:tc>
          <w:tcPr>
            <w:tcW w:w="3119" w:type="dxa"/>
          </w:tcPr>
          <w:p w:rsidR="000D1823" w:rsidRPr="00D864A4" w:rsidRDefault="000D1823" w:rsidP="00A54D27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4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Причинение этому лицу ущерба в результате стихийного бедствия, технологической катастрофы </w:t>
            </w:r>
            <w:r w:rsidRPr="00375190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75190">
              <w:rPr>
                <w:b/>
                <w:color w:val="000000"/>
                <w:sz w:val="20"/>
                <w:szCs w:val="20"/>
              </w:rPr>
              <w:t>пп</w:t>
            </w:r>
            <w:proofErr w:type="spellEnd"/>
            <w:r w:rsidRPr="00375190">
              <w:rPr>
                <w:b/>
                <w:color w:val="000000"/>
                <w:sz w:val="20"/>
                <w:szCs w:val="20"/>
              </w:rPr>
              <w:t>. 1 п. 2 ст. 64 НК РФ)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  <w:p w:rsidR="000D1823" w:rsidRPr="00D864A4" w:rsidRDefault="000D1823" w:rsidP="00B30DCF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4" w:type="dxa"/>
          </w:tcPr>
          <w:p w:rsidR="007923E9" w:rsidRPr="00D864A4" w:rsidRDefault="007923E9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7923E9" w:rsidRPr="00D864A4" w:rsidRDefault="007923E9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D864A4" w:rsidRDefault="00CD1307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А</w:t>
            </w:r>
            <w:r w:rsidR="000D1823" w:rsidRPr="00D864A4">
              <w:rPr>
                <w:color w:val="000000"/>
                <w:sz w:val="20"/>
                <w:szCs w:val="20"/>
              </w:rPr>
              <w:t>кт оценки причиненного заинтересованному лицу ущерба в результате стихийного бедствия или технологической катастрофы, составленный органом исполнительной власти, органом местного самоуправления, уполномоченным в области гражданской обороны, защиты населения и территорий от чрезвычайных ситуаций</w:t>
            </w:r>
            <w:r w:rsidR="007923E9"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  <w:vMerge w:val="restart"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При предоставлении отсрочки или рассрочки по основаниям, указанным в подпунктах 1 и 2 пункта 2 статьи 64 НК РФ</w:t>
            </w:r>
            <w:r w:rsidR="003C6376" w:rsidRPr="00D864A4">
              <w:rPr>
                <w:color w:val="000000"/>
                <w:sz w:val="20"/>
                <w:szCs w:val="20"/>
              </w:rPr>
              <w:t>,</w:t>
            </w:r>
            <w:r w:rsidRPr="00D864A4">
              <w:rPr>
                <w:color w:val="000000"/>
                <w:sz w:val="20"/>
                <w:szCs w:val="20"/>
              </w:rPr>
              <w:t xml:space="preserve"> на сумму отсрочки или </w:t>
            </w: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рассрочки проценты </w:t>
            </w:r>
            <w:r w:rsidRPr="00D864A4">
              <w:rPr>
                <w:b/>
                <w:color w:val="000000"/>
                <w:sz w:val="20"/>
                <w:szCs w:val="20"/>
              </w:rPr>
              <w:t>не начисляются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50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1823" w:rsidTr="00D2014D">
        <w:tc>
          <w:tcPr>
            <w:tcW w:w="3119" w:type="dxa"/>
          </w:tcPr>
          <w:p w:rsidR="000D1823" w:rsidRPr="00D864A4" w:rsidRDefault="000D1823" w:rsidP="00A54D27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864A4">
              <w:rPr>
                <w:color w:val="000000"/>
                <w:sz w:val="20"/>
                <w:szCs w:val="20"/>
              </w:rPr>
              <w:t>Непредоставление</w:t>
            </w:r>
            <w:proofErr w:type="spellEnd"/>
            <w:r w:rsidRPr="00D864A4">
              <w:rPr>
                <w:color w:val="000000"/>
                <w:sz w:val="20"/>
                <w:szCs w:val="20"/>
              </w:rPr>
      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      </w:r>
            <w:proofErr w:type="spellStart"/>
            <w:r w:rsidRPr="00D864A4">
              <w:rPr>
                <w:color w:val="000000"/>
                <w:sz w:val="20"/>
                <w:szCs w:val="20"/>
              </w:rPr>
              <w:t>недоведение</w:t>
            </w:r>
            <w:proofErr w:type="spellEnd"/>
            <w:r w:rsidRPr="00D864A4">
              <w:rPr>
                <w:color w:val="000000"/>
                <w:sz w:val="20"/>
                <w:szCs w:val="20"/>
              </w:rPr>
              <w:t xml:space="preserve"> (несвоевременное доведение) предельных объемов финансирования расходов до заинтересованного лица - получателя бюджетных средств в </w:t>
            </w:r>
            <w:r w:rsidRPr="00D864A4">
              <w:rPr>
                <w:color w:val="000000"/>
                <w:sz w:val="20"/>
                <w:szCs w:val="20"/>
              </w:rPr>
              <w:lastRenderedPageBreak/>
              <w:t xml:space="preserve">объеме, достаточном для своевременной уплаты налогов, сборов, страховых взносов, а также </w:t>
            </w:r>
            <w:proofErr w:type="spellStart"/>
            <w:r w:rsidRPr="00D864A4">
              <w:rPr>
                <w:color w:val="000000"/>
                <w:sz w:val="20"/>
                <w:szCs w:val="20"/>
              </w:rPr>
              <w:t>неперечисление</w:t>
            </w:r>
            <w:proofErr w:type="spellEnd"/>
            <w:r w:rsidRPr="00D864A4">
              <w:rPr>
                <w:color w:val="000000"/>
                <w:sz w:val="20"/>
                <w:szCs w:val="20"/>
              </w:rPr>
              <w:t xml:space="preserve"> (несвоевременное перечисление) заинтересованному лицу из бюджета денежных средств в объеме, достаточном для своевременной уплаты этим лицом налогов, сборов, страховых взносов, в том числе в счет оплаты оказанных этим лицом услуг (выполненных работ, поставленных товаров) для государственных, муниципальных нужд </w:t>
            </w:r>
            <w:r w:rsidRPr="00375190">
              <w:rPr>
                <w:b/>
                <w:sz w:val="20"/>
                <w:szCs w:val="20"/>
              </w:rPr>
              <w:t>(подпункт 2 пункта 2 статьи 64 НК РФ)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04" w:type="dxa"/>
          </w:tcPr>
          <w:p w:rsidR="0074649F" w:rsidRPr="00D864A4" w:rsidRDefault="0074649F" w:rsidP="0074649F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1145F9" w:rsidRPr="00D864A4" w:rsidRDefault="0074649F" w:rsidP="001145F9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1145F9" w:rsidRPr="00D864A4" w:rsidRDefault="001145F9" w:rsidP="00135CA9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 xml:space="preserve">Документ получателя бюджетных средств либо документ государственного, муниципального заказчика, </w:t>
            </w:r>
            <w:r w:rsidR="00BA1A19" w:rsidRPr="00D864A4">
              <w:rPr>
                <w:color w:val="000000"/>
                <w:sz w:val="20"/>
                <w:szCs w:val="20"/>
              </w:rPr>
              <w:t>содержащий</w:t>
            </w:r>
            <w:r w:rsidRPr="00D864A4">
              <w:rPr>
                <w:color w:val="000000"/>
                <w:sz w:val="20"/>
                <w:szCs w:val="20"/>
              </w:rPr>
              <w:t xml:space="preserve"> сведения о сумме денежных средств, которая не перечислена (несвоевременно перечислена) этому лицу из бюджета в объеме, достаточном для своевременного исполнения им обязанности по уплате налога, сбора, страхового взноса, пеней, штрафов, процентов, в том числе в счет оплаты оказанных таким лицом услуг (выполненных работ, поставленных товаров) для государственных, муниципальных нужд.</w:t>
            </w:r>
          </w:p>
          <w:p w:rsidR="000D1823" w:rsidRPr="00D864A4" w:rsidRDefault="000D1823" w:rsidP="00225572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1823" w:rsidRPr="00A54D27" w:rsidTr="00D2014D">
        <w:tc>
          <w:tcPr>
            <w:tcW w:w="3119" w:type="dxa"/>
          </w:tcPr>
          <w:p w:rsidR="000D1823" w:rsidRPr="00D864A4" w:rsidRDefault="000D1823" w:rsidP="00490A66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Угроза возникновения признаков несостоятельности (банкротства) заинтересованного лица в случае единовременной уплаты им налога, сбора, страхового взноса, пеней, штрафов, процентов (</w:t>
            </w:r>
            <w:r w:rsidRPr="00375190">
              <w:rPr>
                <w:b/>
                <w:color w:val="000000"/>
                <w:sz w:val="20"/>
                <w:szCs w:val="20"/>
              </w:rPr>
              <w:t>подпункт 3 пункта 2 статьи 64 НК РФ</w:t>
            </w:r>
            <w:r w:rsidRPr="00D864A4">
              <w:rPr>
                <w:color w:val="000000"/>
                <w:sz w:val="20"/>
                <w:szCs w:val="20"/>
              </w:rPr>
              <w:t>).</w:t>
            </w:r>
            <w:r w:rsidR="003A05C3">
              <w:rPr>
                <w:color w:val="000000"/>
                <w:sz w:val="20"/>
                <w:szCs w:val="20"/>
              </w:rPr>
              <w:t xml:space="preserve"> (</w:t>
            </w:r>
            <w:r w:rsidR="002B368E">
              <w:rPr>
                <w:color w:val="000000"/>
                <w:sz w:val="20"/>
                <w:szCs w:val="20"/>
              </w:rPr>
              <w:t>**</w:t>
            </w:r>
            <w:r w:rsidR="003A05C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04" w:type="dxa"/>
          </w:tcPr>
          <w:p w:rsidR="00880617" w:rsidRPr="00D864A4" w:rsidRDefault="00880617" w:rsidP="00880617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0D1823" w:rsidRPr="00C7388B" w:rsidRDefault="00880617" w:rsidP="00C7388B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возникновения.</w:t>
            </w:r>
          </w:p>
        </w:tc>
        <w:tc>
          <w:tcPr>
            <w:tcW w:w="1725" w:type="dxa"/>
            <w:vMerge w:val="restart"/>
          </w:tcPr>
          <w:p w:rsidR="003C6376" w:rsidRPr="00D864A4" w:rsidRDefault="003C6376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3C6376" w:rsidRPr="00D864A4" w:rsidRDefault="003C6376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3C6376" w:rsidRDefault="003C6376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D864A4" w:rsidRDefault="00D864A4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D864A4" w:rsidRDefault="00D864A4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5F6727" w:rsidRDefault="005F6727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5F6727" w:rsidRDefault="005F6727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5F6727" w:rsidRDefault="005F6727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D864A4" w:rsidRDefault="00D864A4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D864A4" w:rsidRDefault="00D864A4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7D240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При предоставлении отсрочки или рассрочки по основаниям</w:t>
            </w:r>
            <w:r w:rsidR="003C6376" w:rsidRPr="00D864A4">
              <w:rPr>
                <w:color w:val="000000"/>
                <w:sz w:val="20"/>
                <w:szCs w:val="20"/>
              </w:rPr>
              <w:t>, указанным в подпунктах 3, 4 и 5 пункта 2 статьи 64 НК РФ</w:t>
            </w:r>
            <w:r w:rsidRPr="00D864A4">
              <w:rPr>
                <w:color w:val="000000"/>
                <w:sz w:val="20"/>
                <w:szCs w:val="20"/>
              </w:rPr>
              <w:t xml:space="preserve">, на сумму </w:t>
            </w:r>
            <w:r w:rsidR="003C6376" w:rsidRPr="00D864A4">
              <w:rPr>
                <w:color w:val="000000"/>
                <w:sz w:val="20"/>
                <w:szCs w:val="20"/>
              </w:rPr>
              <w:t xml:space="preserve">отсрочки или </w:t>
            </w:r>
            <w:r w:rsidRPr="00D864A4">
              <w:rPr>
                <w:color w:val="000000"/>
                <w:sz w:val="20"/>
                <w:szCs w:val="20"/>
              </w:rPr>
              <w:t>рассрочки начисляются проценты исходя из ставки, равной одной второй ключевой ставки Центрального банка Российской Федерации, действовавшей за период отсрочки</w:t>
            </w:r>
            <w:r w:rsidR="003C6376" w:rsidRPr="00D864A4">
              <w:rPr>
                <w:color w:val="000000"/>
                <w:sz w:val="20"/>
                <w:szCs w:val="20"/>
              </w:rPr>
              <w:t xml:space="preserve"> или </w:t>
            </w:r>
            <w:r w:rsidRPr="00D864A4">
              <w:rPr>
                <w:color w:val="000000"/>
                <w:sz w:val="20"/>
                <w:szCs w:val="20"/>
              </w:rPr>
              <w:t>рассрочки по уплате налога и (или) сбора.</w:t>
            </w:r>
          </w:p>
          <w:p w:rsidR="000D1823" w:rsidRPr="00D864A4" w:rsidRDefault="000D1823" w:rsidP="003C6376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0D1823" w:rsidTr="00D2014D">
        <w:tc>
          <w:tcPr>
            <w:tcW w:w="3119" w:type="dxa"/>
          </w:tcPr>
          <w:p w:rsidR="000D1823" w:rsidRPr="00D864A4" w:rsidRDefault="000D1823" w:rsidP="00490A66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страхового взноса, пеней, штрафов, процентов </w:t>
            </w:r>
            <w:r w:rsidRPr="00490A6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75190">
              <w:rPr>
                <w:b/>
                <w:color w:val="000000"/>
                <w:sz w:val="20"/>
                <w:szCs w:val="20"/>
              </w:rPr>
              <w:t>пп</w:t>
            </w:r>
            <w:proofErr w:type="spellEnd"/>
            <w:r w:rsidRPr="00375190">
              <w:rPr>
                <w:b/>
                <w:color w:val="000000"/>
                <w:sz w:val="20"/>
                <w:szCs w:val="20"/>
              </w:rPr>
              <w:t>. 4 п. 2 ст. 64 НК РФ</w:t>
            </w:r>
            <w:r w:rsidRPr="00490A66">
              <w:rPr>
                <w:color w:val="000000"/>
                <w:sz w:val="20"/>
                <w:szCs w:val="20"/>
              </w:rPr>
              <w:t>)</w:t>
            </w:r>
            <w:r w:rsidRPr="00D864A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504" w:type="dxa"/>
          </w:tcPr>
          <w:p w:rsidR="00D45716" w:rsidRDefault="00A859C3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859C3">
              <w:rPr>
                <w:color w:val="000000"/>
                <w:sz w:val="20"/>
                <w:szCs w:val="20"/>
              </w:rPr>
              <w:t xml:space="preserve">правки банков о ежемесячных оборотах денежных средств (электронных денежных средств, драгоценных металлов),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банках, счету цифрового рубля (при наличии счета цифрового рубля), в том числе закрытым </w:t>
            </w:r>
            <w:r w:rsidR="00D45716">
              <w:rPr>
                <w:color w:val="000000"/>
                <w:sz w:val="20"/>
                <w:szCs w:val="20"/>
              </w:rPr>
              <w:t xml:space="preserve">в указанный период; </w:t>
            </w:r>
          </w:p>
          <w:p w:rsidR="00490A66" w:rsidRDefault="00D45716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A859C3" w:rsidRPr="00D45716">
              <w:rPr>
                <w:color w:val="000000"/>
                <w:sz w:val="20"/>
                <w:szCs w:val="20"/>
              </w:rPr>
              <w:t>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490A66" w:rsidRDefault="0079611D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9611D">
              <w:rPr>
                <w:color w:val="000000"/>
                <w:sz w:val="20"/>
                <w:szCs w:val="20"/>
              </w:rPr>
              <w:t>правки банков об остатках денежных средств (электронных денежных средств, драгоценных металлов) на всех счетах этого лица в банках</w:t>
            </w:r>
            <w:r>
              <w:rPr>
                <w:color w:val="000000"/>
                <w:sz w:val="20"/>
                <w:szCs w:val="20"/>
              </w:rPr>
              <w:t>, с</w:t>
            </w:r>
            <w:r w:rsidR="00D45716" w:rsidRPr="00D45716">
              <w:rPr>
                <w:color w:val="000000"/>
                <w:sz w:val="20"/>
                <w:szCs w:val="20"/>
              </w:rPr>
              <w:t>правки оператора платформы цифрового рубля об остатках цифровых рублей на счете цифрового рубля (при наличии счета цифрового рубля)</w:t>
            </w:r>
            <w:r>
              <w:rPr>
                <w:color w:val="000000"/>
                <w:sz w:val="20"/>
                <w:szCs w:val="20"/>
              </w:rPr>
              <w:t>;</w:t>
            </w:r>
            <w:r w:rsidR="00D45716" w:rsidRPr="00D45716">
              <w:rPr>
                <w:color w:val="000000"/>
                <w:sz w:val="20"/>
                <w:szCs w:val="20"/>
              </w:rPr>
              <w:t xml:space="preserve"> </w:t>
            </w:r>
          </w:p>
          <w:p w:rsidR="00D45716" w:rsidRPr="00D864A4" w:rsidRDefault="00D45716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79611D" w:rsidRDefault="0079611D" w:rsidP="0079611D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0D1823" w:rsidRPr="0079611D">
              <w:rPr>
                <w:color w:val="000000"/>
                <w:sz w:val="20"/>
                <w:szCs w:val="20"/>
              </w:rPr>
              <w:t>ведения о движимом и недвижимом имуществе физического лица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  <w:vMerge/>
          </w:tcPr>
          <w:p w:rsidR="000D1823" w:rsidRPr="00D864A4" w:rsidRDefault="000D1823" w:rsidP="00225572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1823" w:rsidRPr="00941A52" w:rsidTr="00D2014D">
        <w:tc>
          <w:tcPr>
            <w:tcW w:w="3119" w:type="dxa"/>
          </w:tcPr>
          <w:p w:rsidR="000D1823" w:rsidRPr="00D864A4" w:rsidRDefault="000D1823" w:rsidP="00490A66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Производство и (или) реализация товаров, работ или услуг заинтересованным лицом носит сезонный характер </w:t>
            </w:r>
            <w:r w:rsidRPr="00490A66">
              <w:rPr>
                <w:color w:val="000000"/>
                <w:sz w:val="20"/>
                <w:szCs w:val="20"/>
              </w:rPr>
              <w:t>(</w:t>
            </w:r>
            <w:r w:rsidRPr="00375190">
              <w:rPr>
                <w:b/>
                <w:color w:val="000000"/>
                <w:sz w:val="20"/>
                <w:szCs w:val="20"/>
              </w:rPr>
              <w:t>подпункт 5 пункта 2 статьи 64 НК РФ</w:t>
            </w:r>
            <w:r w:rsidRPr="00490A66">
              <w:rPr>
                <w:color w:val="000000"/>
                <w:sz w:val="20"/>
                <w:szCs w:val="20"/>
              </w:rPr>
              <w:t>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04" w:type="dxa"/>
          </w:tcPr>
          <w:p w:rsidR="00533636" w:rsidRPr="00D864A4" w:rsidRDefault="00533636" w:rsidP="00533636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3D1580" w:rsidRDefault="00533636" w:rsidP="003D1580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3D1580" w:rsidRDefault="003D1580" w:rsidP="003D1580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3D1580">
              <w:rPr>
                <w:color w:val="000000"/>
                <w:sz w:val="20"/>
                <w:szCs w:val="20"/>
              </w:rPr>
              <w:t>оставленный заинтересованным лицом документ, подтверждающий, что в общем доходе от реализации товаров (работ, услуг) такого лица доля его дохода от отраслей и видов деятельности, включенных в утверждаемый Правительством Российской Федерации перечень отраслей и видов деятельности, имеющих сезонный характер, составляет не менее 50 процентов (Постановление Правительства Российской Федерации от 06.04.1999 № 382 «О перечнях сезонных отраслей и видов деятельности, применяемых для целей налогообложения»).</w:t>
            </w:r>
          </w:p>
        </w:tc>
        <w:tc>
          <w:tcPr>
            <w:tcW w:w="1725" w:type="dxa"/>
            <w:vMerge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AEF" w:rsidRPr="00051AEF" w:rsidTr="00D2014D">
        <w:tc>
          <w:tcPr>
            <w:tcW w:w="3119" w:type="dxa"/>
          </w:tcPr>
          <w:p w:rsidR="00202CE8" w:rsidRPr="00D864A4" w:rsidRDefault="00051AEF" w:rsidP="002779C5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Невозможность единовременной уплаты сумм налогов, сборов, страховых взносов, пеней, штрафов, процентов, подлежащих уплате в бюджетную систему Российской Федерации по результатам налоговой проверки (</w:t>
            </w:r>
            <w:r w:rsidRPr="00375190">
              <w:rPr>
                <w:b/>
                <w:color w:val="000000"/>
                <w:sz w:val="20"/>
                <w:szCs w:val="20"/>
              </w:rPr>
              <w:t>подпункт 7 пункта 2 статьи 64 НК РФ</w:t>
            </w:r>
            <w:r w:rsidRPr="00D864A4">
              <w:rPr>
                <w:color w:val="000000"/>
                <w:sz w:val="20"/>
                <w:szCs w:val="20"/>
              </w:rPr>
              <w:t>).</w:t>
            </w:r>
            <w:r w:rsidR="00202CE8" w:rsidRPr="00D864A4">
              <w:rPr>
                <w:color w:val="000000"/>
                <w:sz w:val="20"/>
                <w:szCs w:val="20"/>
              </w:rPr>
              <w:t xml:space="preserve"> Изменение срока уплаты налога и сбора по данному основанию осуществляется только в форме </w:t>
            </w:r>
            <w:r w:rsidR="00202CE8" w:rsidRPr="00BE4AD2">
              <w:rPr>
                <w:b/>
                <w:color w:val="000000"/>
                <w:sz w:val="20"/>
                <w:szCs w:val="20"/>
              </w:rPr>
              <w:t>рассрочки</w:t>
            </w:r>
            <w:r w:rsidR="00202CE8" w:rsidRPr="00D864A4">
              <w:rPr>
                <w:color w:val="000000"/>
                <w:sz w:val="20"/>
                <w:szCs w:val="20"/>
              </w:rPr>
              <w:t>.</w:t>
            </w:r>
            <w:r w:rsidR="003A05C3">
              <w:rPr>
                <w:color w:val="000000"/>
                <w:sz w:val="20"/>
                <w:szCs w:val="20"/>
              </w:rPr>
              <w:t xml:space="preserve"> (</w:t>
            </w:r>
            <w:r w:rsidR="002B368E">
              <w:rPr>
                <w:color w:val="000000"/>
                <w:sz w:val="20"/>
                <w:szCs w:val="20"/>
              </w:rPr>
              <w:t>***</w:t>
            </w:r>
            <w:r w:rsidR="003A05C3">
              <w:rPr>
                <w:color w:val="000000"/>
                <w:sz w:val="20"/>
                <w:szCs w:val="20"/>
              </w:rPr>
              <w:t>)</w:t>
            </w:r>
          </w:p>
          <w:p w:rsidR="00051AEF" w:rsidRPr="00D864A4" w:rsidRDefault="00051AEF" w:rsidP="002B368E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04" w:type="dxa"/>
          </w:tcPr>
          <w:p w:rsidR="002B368E" w:rsidRDefault="002B368E" w:rsidP="002B368E">
            <w:pPr>
              <w:pStyle w:val="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859C3">
              <w:rPr>
                <w:color w:val="000000"/>
                <w:sz w:val="20"/>
                <w:szCs w:val="20"/>
              </w:rPr>
              <w:t xml:space="preserve">правки банков о ежемесячных оборотах денежных средств (электронных денежных средств, драгоценных металлов),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банках, счету цифрового рубля (при наличии счета цифрового рубля), в том числе закрытым </w:t>
            </w:r>
            <w:r>
              <w:rPr>
                <w:color w:val="000000"/>
                <w:sz w:val="20"/>
                <w:szCs w:val="20"/>
              </w:rPr>
              <w:t xml:space="preserve">в указанный период; </w:t>
            </w:r>
          </w:p>
          <w:p w:rsidR="002B368E" w:rsidRDefault="002B368E" w:rsidP="002B368E">
            <w:pPr>
              <w:pStyle w:val="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D45716">
              <w:rPr>
                <w:color w:val="000000"/>
                <w:sz w:val="20"/>
                <w:szCs w:val="20"/>
              </w:rPr>
              <w:t>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2B368E" w:rsidRPr="00D864A4" w:rsidRDefault="002B368E" w:rsidP="002B368E">
            <w:pPr>
              <w:pStyle w:val="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</w:t>
            </w:r>
            <w:r w:rsidR="00D2014D">
              <w:rPr>
                <w:color w:val="000000"/>
                <w:sz w:val="20"/>
                <w:szCs w:val="20"/>
              </w:rPr>
              <w:t>х и основаниях их возникновения.</w:t>
            </w:r>
          </w:p>
          <w:p w:rsidR="00051AEF" w:rsidRPr="00D864A4" w:rsidRDefault="00051AEF" w:rsidP="00051AEF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051AEF" w:rsidRPr="00D864A4" w:rsidRDefault="000804C5" w:rsidP="0086044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При предоставлении рассрочки по основанию, указанному в подпункте 7 пункта 2 статьи 64 НК РФ, на сумму рассрочки начисляются проценты исходя из ставки, равной ключевой ставке Центрального банка Российской Федерации, действовавшей в период действия рассрочки.</w:t>
            </w:r>
          </w:p>
        </w:tc>
      </w:tr>
    </w:tbl>
    <w:p w:rsidR="00064BE6" w:rsidRDefault="00064BE6" w:rsidP="00C738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4160A" w:rsidRPr="00E4160A" w:rsidRDefault="00E4160A" w:rsidP="00E4160A">
      <w:pPr>
        <w:pStyle w:val="Style10"/>
        <w:ind w:firstLine="709"/>
        <w:rPr>
          <w:rStyle w:val="FontStyle25"/>
          <w:b/>
          <w:sz w:val="24"/>
          <w:szCs w:val="24"/>
        </w:rPr>
      </w:pPr>
      <w:r w:rsidRPr="00E4160A">
        <w:rPr>
          <w:rStyle w:val="FontStyle25"/>
          <w:b/>
          <w:sz w:val="24"/>
          <w:szCs w:val="24"/>
        </w:rPr>
        <w:t xml:space="preserve">В соответствии с </w:t>
      </w:r>
      <w:r>
        <w:rPr>
          <w:rStyle w:val="FontStyle25"/>
          <w:b/>
          <w:sz w:val="24"/>
          <w:szCs w:val="24"/>
        </w:rPr>
        <w:t>пунктом 9 статьи 64 НК РФ</w:t>
      </w:r>
      <w:r w:rsidRPr="00E4160A">
        <w:rPr>
          <w:rStyle w:val="FontStyle25"/>
          <w:b/>
          <w:sz w:val="24"/>
          <w:szCs w:val="24"/>
        </w:rPr>
        <w:t xml:space="preserve"> не подлежит рассмотрению заявление о предоставлении отсрочки или рассрочки, представленное без приложения вышеуказанных документов.</w:t>
      </w:r>
    </w:p>
    <w:p w:rsidR="00E4160A" w:rsidRPr="00E4160A" w:rsidRDefault="00E4160A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64BE6" w:rsidRPr="00B62A33" w:rsidRDefault="00237851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62A33">
        <w:rPr>
          <w:color w:val="000000"/>
          <w:sz w:val="22"/>
          <w:szCs w:val="22"/>
        </w:rPr>
        <w:t>(</w:t>
      </w:r>
      <w:r w:rsidR="00064BE6" w:rsidRPr="00B62A33">
        <w:rPr>
          <w:color w:val="000000"/>
          <w:sz w:val="22"/>
          <w:szCs w:val="22"/>
        </w:rPr>
        <w:t>*</w:t>
      </w:r>
      <w:r w:rsidRPr="00B62A33">
        <w:rPr>
          <w:color w:val="000000"/>
          <w:sz w:val="22"/>
          <w:szCs w:val="22"/>
        </w:rPr>
        <w:t xml:space="preserve">) </w:t>
      </w:r>
      <w:r w:rsidR="00064BE6" w:rsidRPr="00B62A33">
        <w:rPr>
          <w:color w:val="000000"/>
          <w:sz w:val="22"/>
          <w:szCs w:val="22"/>
        </w:rPr>
        <w:t>Подлежащие уплате проценты, рассчитываются за каждый календарный день действия отсрочки или рассрочки в процентах годовых. Проценты, подлежат уплате не позднее дня, следующего за днем уплаты последнего платежа, предусмотренного решением о предоставлении отсрочки или рассрочки.</w:t>
      </w:r>
    </w:p>
    <w:p w:rsidR="00C7388B" w:rsidRPr="00B62A33" w:rsidRDefault="00237851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62A33">
        <w:rPr>
          <w:color w:val="000000"/>
          <w:sz w:val="22"/>
          <w:szCs w:val="22"/>
        </w:rPr>
        <w:t>(</w:t>
      </w:r>
      <w:r w:rsidR="00064BE6" w:rsidRPr="00B62A33">
        <w:rPr>
          <w:color w:val="000000"/>
          <w:sz w:val="22"/>
          <w:szCs w:val="22"/>
        </w:rPr>
        <w:t>**</w:t>
      </w:r>
      <w:r w:rsidRPr="00B62A33">
        <w:rPr>
          <w:color w:val="000000"/>
          <w:sz w:val="22"/>
          <w:szCs w:val="22"/>
        </w:rPr>
        <w:t xml:space="preserve">) </w:t>
      </w:r>
      <w:r w:rsidR="00C7388B" w:rsidRPr="00B62A33">
        <w:rPr>
          <w:color w:val="000000"/>
          <w:sz w:val="22"/>
          <w:szCs w:val="22"/>
        </w:rPr>
        <w:t>Наличие основания, указанного в подпункте 3 пункта 2 статьи 64 НК РФ,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субъекта, проведенного органом, уполномоченным в соответствии со статьей 63 НК РФ принимать решения об отсрочке или рассрочке, в соответствии с Методикой, утвержденной Приказом Министерства экономического развития РФ от 14.03.2023 № 169.</w:t>
      </w:r>
    </w:p>
    <w:p w:rsidR="002B368E" w:rsidRPr="00B62A33" w:rsidRDefault="00237851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(</w:t>
      </w:r>
      <w:r w:rsidR="002B368E" w:rsidRPr="00B62A33">
        <w:rPr>
          <w:rFonts w:eastAsiaTheme="minorHAnsi"/>
          <w:sz w:val="22"/>
          <w:szCs w:val="22"/>
          <w:lang w:eastAsia="en-US"/>
        </w:rPr>
        <w:t>***</w:t>
      </w:r>
      <w:r w:rsidRPr="00B62A33">
        <w:rPr>
          <w:rFonts w:eastAsiaTheme="minorHAnsi"/>
          <w:sz w:val="22"/>
          <w:szCs w:val="22"/>
          <w:lang w:eastAsia="en-US"/>
        </w:rPr>
        <w:t xml:space="preserve">) </w:t>
      </w:r>
      <w:r w:rsidR="002B368E" w:rsidRPr="00B62A33">
        <w:rPr>
          <w:rFonts w:eastAsiaTheme="minorHAnsi"/>
          <w:sz w:val="22"/>
          <w:szCs w:val="22"/>
          <w:lang w:eastAsia="en-US"/>
        </w:rPr>
        <w:t xml:space="preserve">Наличие указанного в </w:t>
      </w:r>
      <w:hyperlink r:id="rId8" w:history="1">
        <w:r w:rsidR="002B368E" w:rsidRPr="00B62A33">
          <w:rPr>
            <w:rFonts w:eastAsiaTheme="minorHAnsi"/>
            <w:sz w:val="22"/>
            <w:szCs w:val="22"/>
            <w:lang w:eastAsia="en-US"/>
          </w:rPr>
          <w:t>подпункте 7 пункта 2</w:t>
        </w:r>
      </w:hyperlink>
      <w:r w:rsidR="002B368E" w:rsidRPr="00B62A33">
        <w:rPr>
          <w:rFonts w:eastAsiaTheme="minorHAnsi"/>
          <w:sz w:val="22"/>
          <w:szCs w:val="22"/>
          <w:lang w:eastAsia="en-US"/>
        </w:rPr>
        <w:t xml:space="preserve"> статьи 64 НК РФ основания для предоставления рассрочки устанавливается уполномоченным органом в случае, если сумма поступлений денежных средств на счета заинтересованного лица в банках за трехмесячный период, предшествующий подаче заявления о предоставлении рассрочки, меньше суммы краткосрочных обязательств заинтересованного лица (с учетом подлежащих уплате в бюджетную систему Российской Федерации по результатам налоговой проверки сумм налога, сбора, страхового взноса, пеней, штрафов, процентов), уменьшенной на величину доходов будущих периодов, по сведениям представленной в установленном порядке в налоговый орган бухгалтерской (финансовой) отчетности на последнюю отчетную дату, при соблюдении предусмотренных настоящим пунктом условий.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 xml:space="preserve">Рассрочка по основанию, указанному в </w:t>
      </w:r>
      <w:hyperlink r:id="rId9" w:history="1">
        <w:r w:rsidRPr="00B62A33">
          <w:rPr>
            <w:rFonts w:eastAsiaTheme="minorHAnsi"/>
            <w:sz w:val="22"/>
            <w:szCs w:val="22"/>
            <w:lang w:eastAsia="en-US"/>
          </w:rPr>
          <w:t>подпункте 7 пункта 2</w:t>
        </w:r>
      </w:hyperlink>
      <w:r w:rsidRPr="00B62A33">
        <w:rPr>
          <w:rFonts w:eastAsiaTheme="minorHAnsi"/>
          <w:sz w:val="22"/>
          <w:szCs w:val="22"/>
          <w:lang w:eastAsia="en-US"/>
        </w:rPr>
        <w:t xml:space="preserve"> статьи 64 НК РФ, может быть предоставлена заинтересованному лицу в случае: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- подачи им соответствующего заявления о предоставлении рассрочки не позднее 10 дней после вступления в силу решения по результатам налоговой проверки;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- со дня создания организации,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года;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- организация не находится в процессе реорганизации или ликвидации.</w:t>
      </w:r>
    </w:p>
    <w:p w:rsidR="00E4160A" w:rsidRDefault="00E4160A" w:rsidP="003C56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629" w:rsidRDefault="003C5629" w:rsidP="003C56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0170">
        <w:rPr>
          <w:b/>
          <w:sz w:val="28"/>
          <w:szCs w:val="28"/>
        </w:rPr>
        <w:t>Порядок предоставления отсрочки или рассрочки</w:t>
      </w:r>
    </w:p>
    <w:p w:rsidR="00580170" w:rsidRPr="00064BE6" w:rsidRDefault="00580170" w:rsidP="003C5629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80170" w:rsidRPr="002B368E" w:rsidTr="00AA1AD6">
        <w:tc>
          <w:tcPr>
            <w:tcW w:w="10195" w:type="dxa"/>
            <w:gridSpan w:val="2"/>
          </w:tcPr>
          <w:p w:rsidR="00DE6B23" w:rsidRDefault="00580170" w:rsidP="002B368E">
            <w:pPr>
              <w:ind w:firstLine="709"/>
              <w:jc w:val="center"/>
            </w:pPr>
            <w:r w:rsidRPr="002B368E">
              <w:t>Заявление о предоставлении отсрочки или рассрочки представляется:</w:t>
            </w:r>
          </w:p>
          <w:p w:rsidR="002B368E" w:rsidRPr="002B368E" w:rsidRDefault="002B368E" w:rsidP="002B368E">
            <w:pPr>
              <w:ind w:firstLine="709"/>
              <w:jc w:val="center"/>
            </w:pPr>
          </w:p>
        </w:tc>
      </w:tr>
      <w:tr w:rsidR="00580170" w:rsidRPr="002B368E" w:rsidTr="00580170">
        <w:tc>
          <w:tcPr>
            <w:tcW w:w="5097" w:type="dxa"/>
          </w:tcPr>
          <w:p w:rsidR="00580170" w:rsidRPr="002B368E" w:rsidRDefault="00580170" w:rsidP="003C56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68E">
              <w:t xml:space="preserve">в Управление ФНС России по Республике Бурятия - </w:t>
            </w:r>
            <w:r w:rsidRPr="002B368E">
              <w:rPr>
                <w:b/>
              </w:rPr>
              <w:t>если заявлен</w:t>
            </w:r>
            <w:r w:rsidR="002B368E">
              <w:rPr>
                <w:b/>
              </w:rPr>
              <w:t>ная сумма не больше 50 млн руб.</w:t>
            </w:r>
          </w:p>
        </w:tc>
        <w:tc>
          <w:tcPr>
            <w:tcW w:w="5098" w:type="dxa"/>
          </w:tcPr>
          <w:p w:rsidR="00580170" w:rsidRPr="002B368E" w:rsidRDefault="00580170" w:rsidP="003C56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68E">
              <w:t xml:space="preserve">в Межрегиональную инспекцию ФНС по управлению долгом – </w:t>
            </w:r>
            <w:r w:rsidRPr="002B368E">
              <w:rPr>
                <w:b/>
              </w:rPr>
              <w:t>если заявленная сумма больше 50 млн руб.</w:t>
            </w:r>
          </w:p>
        </w:tc>
      </w:tr>
    </w:tbl>
    <w:p w:rsidR="00BC7D72" w:rsidRPr="002B368E" w:rsidRDefault="00BC7D72" w:rsidP="00BC7D72">
      <w:pPr>
        <w:ind w:firstLine="709"/>
      </w:pPr>
      <w:r w:rsidRPr="002B368E">
        <w:t xml:space="preserve"> </w:t>
      </w:r>
    </w:p>
    <w:p w:rsidR="00BD7C03" w:rsidRDefault="00BE349F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368E">
        <w:rPr>
          <w:color w:val="000000"/>
        </w:rPr>
        <w:t>З</w:t>
      </w:r>
      <w:r w:rsidR="00E87515" w:rsidRPr="002B368E">
        <w:rPr>
          <w:color w:val="000000"/>
        </w:rPr>
        <w:t xml:space="preserve">аявление о предоставлении отсрочки или рассрочки </w:t>
      </w:r>
      <w:r w:rsidRPr="002B368E">
        <w:rPr>
          <w:color w:val="000000"/>
        </w:rPr>
        <w:t xml:space="preserve">представляется </w:t>
      </w:r>
      <w:r w:rsidR="00E87515" w:rsidRPr="002B368E">
        <w:rPr>
          <w:color w:val="000000"/>
        </w:rPr>
        <w:t xml:space="preserve">в электронной форме </w:t>
      </w:r>
      <w:r w:rsidR="00E87515" w:rsidRPr="002B368E">
        <w:rPr>
          <w:b/>
          <w:color w:val="000000"/>
        </w:rPr>
        <w:t>по телекоммуникационным каналам связи</w:t>
      </w:r>
      <w:r w:rsidR="00E87515" w:rsidRPr="002B368E">
        <w:rPr>
          <w:color w:val="000000"/>
        </w:rPr>
        <w:t xml:space="preserve"> или через </w:t>
      </w:r>
      <w:r w:rsidR="00E87515" w:rsidRPr="002B368E">
        <w:rPr>
          <w:b/>
          <w:color w:val="000000"/>
        </w:rPr>
        <w:t>личный кабинет налогоплательщика</w:t>
      </w:r>
      <w:r w:rsidR="00AF2654" w:rsidRPr="002B368E">
        <w:rPr>
          <w:color w:val="000000"/>
        </w:rPr>
        <w:t xml:space="preserve"> (КНД 1150086)</w:t>
      </w:r>
      <w:r w:rsidR="00E87515" w:rsidRPr="002B368E">
        <w:rPr>
          <w:color w:val="000000"/>
        </w:rPr>
        <w:t>.</w:t>
      </w:r>
      <w:r w:rsidR="001717E7" w:rsidRPr="002B368E">
        <w:rPr>
          <w:color w:val="000000"/>
        </w:rPr>
        <w:t xml:space="preserve"> </w:t>
      </w:r>
    </w:p>
    <w:p w:rsidR="00712DF5" w:rsidRDefault="00712DF5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71B5" w:rsidRPr="00BD7C03" w:rsidRDefault="001371B5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368E">
        <w:rPr>
          <w:b/>
        </w:rPr>
        <w:t>При заполнении заявления обязательно указываются:</w:t>
      </w:r>
    </w:p>
    <w:p w:rsidR="002C3E6B" w:rsidRPr="002B368E" w:rsidRDefault="00225572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left="993" w:hanging="284"/>
        <w:jc w:val="both"/>
      </w:pPr>
      <w:r w:rsidRPr="002B368E">
        <w:t xml:space="preserve">       </w:t>
      </w:r>
      <w:r w:rsidR="00BF7137" w:rsidRPr="002B368E">
        <w:t>О</w:t>
      </w:r>
      <w:r w:rsidR="00083506" w:rsidRPr="002B368E">
        <w:t>снование для предоставления отсрочки или рассрочки;</w:t>
      </w:r>
    </w:p>
    <w:p w:rsidR="002C3E6B" w:rsidRPr="002B368E" w:rsidRDefault="00BF7137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2B368E">
        <w:t>С</w:t>
      </w:r>
      <w:r w:rsidR="00B83B10" w:rsidRPr="002B368E">
        <w:t xml:space="preserve">умма задолженности </w:t>
      </w:r>
      <w:r w:rsidR="00B83B10" w:rsidRPr="002B368E">
        <w:rPr>
          <w:color w:val="000000"/>
        </w:rPr>
        <w:t>и (или) налогов, сборов, страховых взносов, срок уплаты которых не наступил на день принятия уполномоченным органом решения об отсрочке или рассрочке</w:t>
      </w:r>
      <w:r w:rsidR="002C3E6B" w:rsidRPr="002B368E">
        <w:rPr>
          <w:color w:val="000000"/>
        </w:rPr>
        <w:t>;</w:t>
      </w:r>
    </w:p>
    <w:p w:rsidR="00B83B10" w:rsidRPr="006E6C48" w:rsidRDefault="00BF7137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hanging="551"/>
        <w:jc w:val="both"/>
      </w:pPr>
      <w:r w:rsidRPr="002B368E">
        <w:rPr>
          <w:color w:val="000000"/>
        </w:rPr>
        <w:t>С</w:t>
      </w:r>
      <w:r w:rsidR="002C3E6B" w:rsidRPr="002B368E">
        <w:rPr>
          <w:color w:val="000000"/>
        </w:rPr>
        <w:t>рок</w:t>
      </w:r>
      <w:r w:rsidR="00B83B10" w:rsidRPr="002B368E">
        <w:rPr>
          <w:color w:val="000000"/>
        </w:rPr>
        <w:t>, на который запра</w:t>
      </w:r>
      <w:r w:rsidR="002C3E6B" w:rsidRPr="002B368E">
        <w:rPr>
          <w:color w:val="000000"/>
        </w:rPr>
        <w:t>шивается отсрочка или рассрочка.</w:t>
      </w:r>
    </w:p>
    <w:p w:rsidR="006E6C48" w:rsidRDefault="006E6C48" w:rsidP="006E6C48">
      <w:pPr>
        <w:pStyle w:val="a3"/>
        <w:autoSpaceDE w:val="0"/>
        <w:autoSpaceDN w:val="0"/>
        <w:adjustRightInd w:val="0"/>
        <w:ind w:left="1260"/>
        <w:jc w:val="both"/>
        <w:rPr>
          <w:color w:val="000000"/>
        </w:rPr>
      </w:pPr>
    </w:p>
    <w:p w:rsidR="006E6C48" w:rsidRPr="000602C5" w:rsidRDefault="006E6C48" w:rsidP="006E6C48">
      <w:pPr>
        <w:pStyle w:val="Style10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0602C5">
        <w:rPr>
          <w:rStyle w:val="FontStyle25"/>
          <w:sz w:val="26"/>
          <w:szCs w:val="26"/>
        </w:rPr>
        <w:t>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лица.</w:t>
      </w:r>
    </w:p>
    <w:p w:rsidR="004335FE" w:rsidRDefault="004335FE" w:rsidP="004335FE">
      <w:pPr>
        <w:pStyle w:val="a3"/>
        <w:autoSpaceDE w:val="0"/>
        <w:autoSpaceDN w:val="0"/>
        <w:adjustRightInd w:val="0"/>
        <w:ind w:left="1260"/>
        <w:jc w:val="both"/>
        <w:rPr>
          <w:color w:val="000000"/>
        </w:rPr>
      </w:pPr>
      <w:bookmarkStart w:id="0" w:name="_GoBack"/>
      <w:bookmarkEnd w:id="0"/>
    </w:p>
    <w:p w:rsidR="00BA6B3B" w:rsidRDefault="00BA6B3B" w:rsidP="00BA6B3B">
      <w:pPr>
        <w:pStyle w:val="a3"/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BA6B3B">
        <w:rPr>
          <w:b/>
          <w:color w:val="000000"/>
          <w:sz w:val="28"/>
          <w:szCs w:val="28"/>
        </w:rPr>
        <w:t>Обеспечение исполнения обязательств</w:t>
      </w:r>
    </w:p>
    <w:p w:rsidR="00BA6B3B" w:rsidRPr="00BA6B3B" w:rsidRDefault="00BA6B3B" w:rsidP="00BA6B3B">
      <w:pPr>
        <w:pStyle w:val="a3"/>
        <w:autoSpaceDE w:val="0"/>
        <w:autoSpaceDN w:val="0"/>
        <w:adjustRightInd w:val="0"/>
        <w:ind w:left="1260"/>
        <w:jc w:val="center"/>
        <w:rPr>
          <w:b/>
          <w:color w:val="000000"/>
          <w:sz w:val="28"/>
          <w:szCs w:val="28"/>
        </w:rPr>
      </w:pP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>О</w:t>
      </w:r>
      <w:r w:rsidR="00E321BB" w:rsidRPr="002B368E">
        <w:rPr>
          <w:b/>
        </w:rPr>
        <w:t>бязательным условием</w:t>
      </w:r>
      <w:r w:rsidR="00E321BB" w:rsidRPr="002B368E">
        <w:t xml:space="preserve"> для предоставления отсрочки или рассрочки является представление обеспечения в форме</w:t>
      </w:r>
      <w:r w:rsidRPr="002B368E">
        <w:t xml:space="preserve"> (на выбор):</w:t>
      </w:r>
      <w:r w:rsidRPr="002B368E">
        <w:rPr>
          <w:b/>
        </w:rPr>
        <w:t xml:space="preserve"> - залога</w:t>
      </w: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 xml:space="preserve">                                                                        -</w:t>
      </w:r>
      <w:r w:rsidR="00E321BB" w:rsidRPr="002B368E">
        <w:rPr>
          <w:b/>
        </w:rPr>
        <w:t xml:space="preserve"> поручительства </w:t>
      </w:r>
    </w:p>
    <w:p w:rsidR="00E321BB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 xml:space="preserve">                                                                        - </w:t>
      </w:r>
      <w:r w:rsidR="00E321BB" w:rsidRPr="002B368E">
        <w:rPr>
          <w:b/>
        </w:rPr>
        <w:t>банковск</w:t>
      </w:r>
      <w:r w:rsidRPr="002B368E">
        <w:rPr>
          <w:b/>
        </w:rPr>
        <w:t>ой гарантии</w:t>
      </w: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4C1C" w:rsidRPr="00225572" w:rsidRDefault="00B7731E" w:rsidP="00B7731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368E">
        <w:rPr>
          <w:color w:val="000000"/>
        </w:rPr>
        <w:t>При отсутствии в течение 30 календарных дней, следующих</w:t>
      </w:r>
      <w:r w:rsidRPr="00225572">
        <w:rPr>
          <w:color w:val="000000"/>
        </w:rPr>
        <w:t xml:space="preserve"> за днем принятия решения о предоставлении отсрочки или рассрочки, заключенных договора залога, договора поручительства, предоставленной банковской гарантии либо отказе в согласовании финансовыми органами субъектов Российской Федерации, муниципальных образований</w:t>
      </w:r>
      <w:r w:rsidR="00225572">
        <w:rPr>
          <w:color w:val="000000"/>
        </w:rPr>
        <w:t xml:space="preserve"> в соответствии с п.</w:t>
      </w:r>
      <w:r w:rsidRPr="00225572">
        <w:rPr>
          <w:color w:val="000000"/>
        </w:rPr>
        <w:t xml:space="preserve"> 2 ст</w:t>
      </w:r>
      <w:r w:rsidR="00225572">
        <w:rPr>
          <w:color w:val="000000"/>
        </w:rPr>
        <w:t>.</w:t>
      </w:r>
      <w:r w:rsidRPr="00225572">
        <w:rPr>
          <w:color w:val="000000"/>
        </w:rPr>
        <w:t xml:space="preserve"> 63 </w:t>
      </w:r>
      <w:r w:rsidR="00010B5F" w:rsidRPr="00225572">
        <w:rPr>
          <w:color w:val="000000"/>
        </w:rPr>
        <w:t>НК РФ</w:t>
      </w:r>
      <w:r w:rsidRPr="00225572">
        <w:rPr>
          <w:color w:val="000000"/>
        </w:rPr>
        <w:t xml:space="preserve"> соответствующее решени</w:t>
      </w:r>
      <w:r w:rsidR="00225572">
        <w:rPr>
          <w:color w:val="000000"/>
        </w:rPr>
        <w:t>е о предоставлении отсрочки/</w:t>
      </w:r>
      <w:r w:rsidRPr="00225572">
        <w:rPr>
          <w:color w:val="000000"/>
        </w:rPr>
        <w:t xml:space="preserve">рассрочки не вступает в силу. </w:t>
      </w:r>
    </w:p>
    <w:p w:rsidR="00225572" w:rsidRPr="00B7731E" w:rsidRDefault="00225572" w:rsidP="00B7731E">
      <w:pPr>
        <w:autoSpaceDE w:val="0"/>
        <w:autoSpaceDN w:val="0"/>
        <w:adjustRightInd w:val="0"/>
        <w:ind w:firstLine="709"/>
        <w:jc w:val="both"/>
      </w:pPr>
    </w:p>
    <w:p w:rsidR="00C95761" w:rsidRPr="00DE6B23" w:rsidRDefault="00DE6B23" w:rsidP="00DE6B23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BA0971">
        <w:rPr>
          <w:b/>
          <w:color w:val="000000"/>
          <w:sz w:val="28"/>
          <w:szCs w:val="28"/>
        </w:rPr>
        <w:t xml:space="preserve">тсрочка или </w:t>
      </w:r>
      <w:r w:rsidR="00787D73" w:rsidRPr="00DE6B23">
        <w:rPr>
          <w:b/>
          <w:color w:val="000000"/>
          <w:sz w:val="28"/>
          <w:szCs w:val="28"/>
        </w:rPr>
        <w:t>рассрочка не может</w:t>
      </w:r>
      <w:r>
        <w:rPr>
          <w:b/>
          <w:color w:val="000000"/>
          <w:sz w:val="28"/>
          <w:szCs w:val="28"/>
        </w:rPr>
        <w:t xml:space="preserve"> быть предоставлена</w:t>
      </w:r>
      <w:r w:rsidR="00C95761" w:rsidRPr="00DE6B23">
        <w:rPr>
          <w:b/>
          <w:color w:val="000000"/>
          <w:sz w:val="28"/>
          <w:szCs w:val="28"/>
        </w:rPr>
        <w:t xml:space="preserve"> если:</w:t>
      </w:r>
    </w:p>
    <w:p w:rsidR="00DE6B23" w:rsidRPr="00144A29" w:rsidRDefault="00DE6B23" w:rsidP="00C95761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1) в отношении заинтересованного лица возбуждено уголовное дело по признакам преступления, связанного с нарушением законодательства о налогах и сборах, либо в отношении законного представителя (бывшего законного представителя) организации - заинтересованного лица возбуждено уголовное дело по признакам преступления, связанного с нарушением этой организацией законодательства о налогах и сборах;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2) наличие обязанности по уплате налогов, сборов, страховых взносов, пеней, штрафов, процентов обжалуется заинтересованным лицом в соответствии с главой 19 настоящего Кодекса в части сумм, указанных в заявлении о предоставлении отсрочки или рассрочки, либо проводится производство по делу о налоговом правонарушении либо по делу об административном правонарушении в области налогов, сборов, страховых взносов, таможенного дела в части налогов, подлежащих уплате в связи с перемещением товаров через таможенную границу Евразийского экономического союза;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3) заинтересованное лицо собирается выехать за пределы Российской Федерации на постоянное место жительства;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lastRenderedPageBreak/>
        <w:t>4) в течение трех лет, предшествующих дню подачи заинтересованным лицом заявления о предоставлении в соответствии с настоящей главой отсрочки или рассрочки, инвестиционного налогового кред</w:t>
      </w:r>
      <w:r w:rsidR="00804AE1">
        <w:rPr>
          <w:color w:val="000000"/>
        </w:rPr>
        <w:t>ита, органом, указанным в ст.</w:t>
      </w:r>
      <w:r w:rsidRPr="00144A29">
        <w:rPr>
          <w:color w:val="000000"/>
        </w:rPr>
        <w:t xml:space="preserve"> 63 </w:t>
      </w:r>
      <w:r w:rsidR="00804AE1">
        <w:rPr>
          <w:color w:val="000000"/>
        </w:rPr>
        <w:t>НК РФ</w:t>
      </w:r>
      <w:r w:rsidRPr="00144A29">
        <w:rPr>
          <w:color w:val="000000"/>
        </w:rPr>
        <w:t>, было вынесено решение о досрочном прекращении действия ранее предоставленной отсрочки или рассрочки,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рассрочки, инвестиционного налогового кредита;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5) заинтересованное лицо - организация находится в процессе ликвидации;</w:t>
      </w:r>
    </w:p>
    <w:p w:rsidR="00C95761" w:rsidRPr="008763B6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3B6">
        <w:rPr>
          <w:color w:val="000000"/>
        </w:rPr>
        <w:t>6) в отношении заинтересованного лица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575E18" w:rsidRPr="008763B6" w:rsidRDefault="00575E18" w:rsidP="00B30DCF">
      <w:pPr>
        <w:autoSpaceDE w:val="0"/>
        <w:autoSpaceDN w:val="0"/>
        <w:adjustRightInd w:val="0"/>
        <w:ind w:firstLine="540"/>
        <w:jc w:val="both"/>
      </w:pPr>
    </w:p>
    <w:p w:rsidR="00575E18" w:rsidRPr="008763B6" w:rsidRDefault="00575E18" w:rsidP="00C373EA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24"/>
          <w:szCs w:val="24"/>
        </w:rPr>
      </w:pPr>
    </w:p>
    <w:p w:rsidR="003717CE" w:rsidRPr="008763B6" w:rsidRDefault="00AC528E" w:rsidP="003717CE">
      <w:pPr>
        <w:contextualSpacing/>
      </w:pPr>
      <w:r w:rsidRPr="004D28D9">
        <w:rPr>
          <w:b/>
        </w:rPr>
        <w:t>Телефон для связи</w:t>
      </w:r>
      <w:r w:rsidRPr="008763B6">
        <w:t xml:space="preserve">: </w:t>
      </w:r>
      <w:r w:rsidR="003717CE" w:rsidRPr="008763B6">
        <w:t>(3012) 37-83-48, доб. 3841</w:t>
      </w:r>
      <w:r w:rsidR="005042CC" w:rsidRPr="008763B6">
        <w:t>, 3842</w:t>
      </w:r>
      <w:r w:rsidR="00920896">
        <w:t>, 3846</w:t>
      </w:r>
    </w:p>
    <w:p w:rsidR="003717CE" w:rsidRPr="00144A29" w:rsidRDefault="003717CE" w:rsidP="003717CE">
      <w:pPr>
        <w:autoSpaceDE w:val="0"/>
        <w:autoSpaceDN w:val="0"/>
        <w:adjustRightInd w:val="0"/>
        <w:ind w:firstLine="540"/>
        <w:jc w:val="both"/>
      </w:pPr>
    </w:p>
    <w:p w:rsidR="007B2F0A" w:rsidRDefault="007B2F0A" w:rsidP="00B30DCF">
      <w:pPr>
        <w:autoSpaceDE w:val="0"/>
        <w:autoSpaceDN w:val="0"/>
        <w:adjustRightInd w:val="0"/>
        <w:ind w:firstLine="540"/>
        <w:jc w:val="both"/>
      </w:pPr>
    </w:p>
    <w:sectPr w:rsidR="007B2F0A" w:rsidSect="00580170">
      <w:footerReference w:type="default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1E" w:rsidRDefault="005F2C1E" w:rsidP="006A4875">
      <w:r>
        <w:separator/>
      </w:r>
    </w:p>
  </w:endnote>
  <w:endnote w:type="continuationSeparator" w:id="0">
    <w:p w:rsidR="005F2C1E" w:rsidRDefault="005F2C1E" w:rsidP="006A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972617"/>
      <w:docPartObj>
        <w:docPartGallery w:val="Page Numbers (Bottom of Page)"/>
        <w:docPartUnique/>
      </w:docPartObj>
    </w:sdtPr>
    <w:sdtEndPr/>
    <w:sdtContent>
      <w:p w:rsidR="006A4875" w:rsidRDefault="006A48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C48">
          <w:rPr>
            <w:noProof/>
          </w:rPr>
          <w:t>5</w:t>
        </w:r>
        <w:r>
          <w:fldChar w:fldCharType="end"/>
        </w:r>
      </w:p>
    </w:sdtContent>
  </w:sdt>
  <w:p w:rsidR="006A4875" w:rsidRDefault="006A48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1E" w:rsidRDefault="005F2C1E" w:rsidP="006A4875">
      <w:r>
        <w:separator/>
      </w:r>
    </w:p>
  </w:footnote>
  <w:footnote w:type="continuationSeparator" w:id="0">
    <w:p w:rsidR="005F2C1E" w:rsidRDefault="005F2C1E" w:rsidP="006A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05569"/>
    <w:multiLevelType w:val="hybridMultilevel"/>
    <w:tmpl w:val="F392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2B7E"/>
    <w:multiLevelType w:val="hybridMultilevel"/>
    <w:tmpl w:val="57D01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BD0BC3"/>
    <w:multiLevelType w:val="hybridMultilevel"/>
    <w:tmpl w:val="1F183532"/>
    <w:lvl w:ilvl="0" w:tplc="DFC29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0D611E"/>
    <w:multiLevelType w:val="hybridMultilevel"/>
    <w:tmpl w:val="B98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A123F"/>
    <w:multiLevelType w:val="hybridMultilevel"/>
    <w:tmpl w:val="E66A1068"/>
    <w:lvl w:ilvl="0" w:tplc="B372C7D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2D94B97"/>
    <w:multiLevelType w:val="hybridMultilevel"/>
    <w:tmpl w:val="3B7A0A9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3E02CF6"/>
    <w:multiLevelType w:val="hybridMultilevel"/>
    <w:tmpl w:val="25FCA29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40412E9"/>
    <w:multiLevelType w:val="hybridMultilevel"/>
    <w:tmpl w:val="7522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6229B"/>
    <w:multiLevelType w:val="hybridMultilevel"/>
    <w:tmpl w:val="F392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977"/>
    <w:multiLevelType w:val="hybridMultilevel"/>
    <w:tmpl w:val="4D2AB71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137756"/>
    <w:multiLevelType w:val="hybridMultilevel"/>
    <w:tmpl w:val="1148359E"/>
    <w:lvl w:ilvl="0" w:tplc="2FCAD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FA09EA"/>
    <w:multiLevelType w:val="hybridMultilevel"/>
    <w:tmpl w:val="54A6E810"/>
    <w:lvl w:ilvl="0" w:tplc="50287E0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2" w15:restartNumberingAfterBreak="0">
    <w:nsid w:val="58087554"/>
    <w:multiLevelType w:val="hybridMultilevel"/>
    <w:tmpl w:val="BB9614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D041EE1"/>
    <w:multiLevelType w:val="hybridMultilevel"/>
    <w:tmpl w:val="8CEC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3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BB"/>
    <w:rsid w:val="000065B7"/>
    <w:rsid w:val="00010B5F"/>
    <w:rsid w:val="00051A0F"/>
    <w:rsid w:val="00051AEF"/>
    <w:rsid w:val="000646DF"/>
    <w:rsid w:val="00064BE6"/>
    <w:rsid w:val="000804C5"/>
    <w:rsid w:val="00083506"/>
    <w:rsid w:val="000835D3"/>
    <w:rsid w:val="000A5CE8"/>
    <w:rsid w:val="000D1823"/>
    <w:rsid w:val="001145F9"/>
    <w:rsid w:val="00121DE4"/>
    <w:rsid w:val="0013562A"/>
    <w:rsid w:val="00135CA9"/>
    <w:rsid w:val="001371B5"/>
    <w:rsid w:val="001378F7"/>
    <w:rsid w:val="00144A29"/>
    <w:rsid w:val="00145B8B"/>
    <w:rsid w:val="001717E7"/>
    <w:rsid w:val="001A08AA"/>
    <w:rsid w:val="001D2352"/>
    <w:rsid w:val="001F11BB"/>
    <w:rsid w:val="00202404"/>
    <w:rsid w:val="00202CE8"/>
    <w:rsid w:val="00207E25"/>
    <w:rsid w:val="00223FDA"/>
    <w:rsid w:val="00225572"/>
    <w:rsid w:val="002334B4"/>
    <w:rsid w:val="00237851"/>
    <w:rsid w:val="0025174F"/>
    <w:rsid w:val="002779C5"/>
    <w:rsid w:val="002955F2"/>
    <w:rsid w:val="002A6271"/>
    <w:rsid w:val="002B368E"/>
    <w:rsid w:val="002C3E6B"/>
    <w:rsid w:val="002C59A5"/>
    <w:rsid w:val="0034039D"/>
    <w:rsid w:val="003717CE"/>
    <w:rsid w:val="00373660"/>
    <w:rsid w:val="00375190"/>
    <w:rsid w:val="00380288"/>
    <w:rsid w:val="003A05C3"/>
    <w:rsid w:val="003B10D7"/>
    <w:rsid w:val="003C5629"/>
    <w:rsid w:val="003C6376"/>
    <w:rsid w:val="003D1580"/>
    <w:rsid w:val="003D3876"/>
    <w:rsid w:val="003E0D8B"/>
    <w:rsid w:val="003E54CA"/>
    <w:rsid w:val="003E5DA7"/>
    <w:rsid w:val="0042603A"/>
    <w:rsid w:val="004335FE"/>
    <w:rsid w:val="00452EAC"/>
    <w:rsid w:val="004751DC"/>
    <w:rsid w:val="00490A66"/>
    <w:rsid w:val="004C51D7"/>
    <w:rsid w:val="004C674D"/>
    <w:rsid w:val="004D28D9"/>
    <w:rsid w:val="004F72E5"/>
    <w:rsid w:val="005042CC"/>
    <w:rsid w:val="00533636"/>
    <w:rsid w:val="0053767B"/>
    <w:rsid w:val="00540398"/>
    <w:rsid w:val="0055764D"/>
    <w:rsid w:val="00560124"/>
    <w:rsid w:val="00575E18"/>
    <w:rsid w:val="00580170"/>
    <w:rsid w:val="005F2C1E"/>
    <w:rsid w:val="005F4BD7"/>
    <w:rsid w:val="005F6727"/>
    <w:rsid w:val="0061422F"/>
    <w:rsid w:val="006238BA"/>
    <w:rsid w:val="0065533D"/>
    <w:rsid w:val="00660968"/>
    <w:rsid w:val="0067110E"/>
    <w:rsid w:val="00674CDE"/>
    <w:rsid w:val="00677B5F"/>
    <w:rsid w:val="006941B1"/>
    <w:rsid w:val="0069572E"/>
    <w:rsid w:val="006A40E4"/>
    <w:rsid w:val="006A4875"/>
    <w:rsid w:val="006B6DAA"/>
    <w:rsid w:val="006E2B86"/>
    <w:rsid w:val="006E3AE1"/>
    <w:rsid w:val="006E4E4E"/>
    <w:rsid w:val="006E6C48"/>
    <w:rsid w:val="00712DF5"/>
    <w:rsid w:val="00714195"/>
    <w:rsid w:val="0074649F"/>
    <w:rsid w:val="007642A6"/>
    <w:rsid w:val="00764BFB"/>
    <w:rsid w:val="00767F98"/>
    <w:rsid w:val="007724C2"/>
    <w:rsid w:val="00787D73"/>
    <w:rsid w:val="00791FB3"/>
    <w:rsid w:val="007923E9"/>
    <w:rsid w:val="0079611D"/>
    <w:rsid w:val="007A3D78"/>
    <w:rsid w:val="007A5A2A"/>
    <w:rsid w:val="007B23E3"/>
    <w:rsid w:val="007B2F0A"/>
    <w:rsid w:val="007D2400"/>
    <w:rsid w:val="007D29FF"/>
    <w:rsid w:val="007E43F4"/>
    <w:rsid w:val="00804AE1"/>
    <w:rsid w:val="00831258"/>
    <w:rsid w:val="008536D2"/>
    <w:rsid w:val="00860444"/>
    <w:rsid w:val="008763B6"/>
    <w:rsid w:val="00880617"/>
    <w:rsid w:val="008C48F0"/>
    <w:rsid w:val="00915377"/>
    <w:rsid w:val="00920896"/>
    <w:rsid w:val="00941A52"/>
    <w:rsid w:val="009919FB"/>
    <w:rsid w:val="009977FE"/>
    <w:rsid w:val="009A48BF"/>
    <w:rsid w:val="009C23E1"/>
    <w:rsid w:val="009F4F2D"/>
    <w:rsid w:val="00A00895"/>
    <w:rsid w:val="00A02B9B"/>
    <w:rsid w:val="00A34347"/>
    <w:rsid w:val="00A45FB4"/>
    <w:rsid w:val="00A54D27"/>
    <w:rsid w:val="00A65009"/>
    <w:rsid w:val="00A84A24"/>
    <w:rsid w:val="00A859C3"/>
    <w:rsid w:val="00AB2221"/>
    <w:rsid w:val="00AB4F5D"/>
    <w:rsid w:val="00AC528E"/>
    <w:rsid w:val="00AD0502"/>
    <w:rsid w:val="00AD3157"/>
    <w:rsid w:val="00AF2654"/>
    <w:rsid w:val="00B0315C"/>
    <w:rsid w:val="00B1146F"/>
    <w:rsid w:val="00B30DCF"/>
    <w:rsid w:val="00B3687C"/>
    <w:rsid w:val="00B3793D"/>
    <w:rsid w:val="00B61C2E"/>
    <w:rsid w:val="00B62A33"/>
    <w:rsid w:val="00B7731E"/>
    <w:rsid w:val="00B83B10"/>
    <w:rsid w:val="00BA0971"/>
    <w:rsid w:val="00BA1A19"/>
    <w:rsid w:val="00BA6B3B"/>
    <w:rsid w:val="00BC7D72"/>
    <w:rsid w:val="00BD4DBD"/>
    <w:rsid w:val="00BD7C03"/>
    <w:rsid w:val="00BE349F"/>
    <w:rsid w:val="00BE4AD2"/>
    <w:rsid w:val="00BE7522"/>
    <w:rsid w:val="00BE7F09"/>
    <w:rsid w:val="00BF40F0"/>
    <w:rsid w:val="00BF7137"/>
    <w:rsid w:val="00C25649"/>
    <w:rsid w:val="00C32078"/>
    <w:rsid w:val="00C373EA"/>
    <w:rsid w:val="00C37ADB"/>
    <w:rsid w:val="00C72B7B"/>
    <w:rsid w:val="00C7388B"/>
    <w:rsid w:val="00C947A7"/>
    <w:rsid w:val="00C95761"/>
    <w:rsid w:val="00CA2218"/>
    <w:rsid w:val="00CD1307"/>
    <w:rsid w:val="00D02B1C"/>
    <w:rsid w:val="00D17850"/>
    <w:rsid w:val="00D2014D"/>
    <w:rsid w:val="00D45716"/>
    <w:rsid w:val="00D633AB"/>
    <w:rsid w:val="00D864A4"/>
    <w:rsid w:val="00D868F7"/>
    <w:rsid w:val="00D977FE"/>
    <w:rsid w:val="00DE6B23"/>
    <w:rsid w:val="00DE7A24"/>
    <w:rsid w:val="00E11222"/>
    <w:rsid w:val="00E25FEC"/>
    <w:rsid w:val="00E321BB"/>
    <w:rsid w:val="00E4160A"/>
    <w:rsid w:val="00E87515"/>
    <w:rsid w:val="00EA2A9E"/>
    <w:rsid w:val="00EF5815"/>
    <w:rsid w:val="00F14C1C"/>
    <w:rsid w:val="00F30687"/>
    <w:rsid w:val="00F32033"/>
    <w:rsid w:val="00F47003"/>
    <w:rsid w:val="00FA7AAA"/>
    <w:rsid w:val="00FB0E3C"/>
    <w:rsid w:val="00F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4783F1-1A26-4F19-AA66-72CCAE27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8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8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8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38028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02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380288"/>
    <w:rPr>
      <w:rFonts w:cs="Times New Roman"/>
      <w:vertAlign w:val="superscript"/>
    </w:rPr>
  </w:style>
  <w:style w:type="paragraph" w:customStyle="1" w:styleId="s1">
    <w:name w:val="s_1"/>
    <w:basedOn w:val="a"/>
    <w:rsid w:val="0069572E"/>
    <w:pPr>
      <w:spacing w:before="100" w:beforeAutospacing="1" w:after="100" w:afterAutospacing="1"/>
    </w:pPr>
  </w:style>
  <w:style w:type="paragraph" w:customStyle="1" w:styleId="s15">
    <w:name w:val="s_15"/>
    <w:basedOn w:val="a"/>
    <w:rsid w:val="00C95761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C95761"/>
  </w:style>
  <w:style w:type="paragraph" w:customStyle="1" w:styleId="Style10">
    <w:name w:val="Style10"/>
    <w:basedOn w:val="a"/>
    <w:uiPriority w:val="99"/>
    <w:rsid w:val="00575E18"/>
    <w:pPr>
      <w:widowControl w:val="0"/>
      <w:autoSpaceDE w:val="0"/>
      <w:autoSpaceDN w:val="0"/>
      <w:adjustRightInd w:val="0"/>
      <w:spacing w:line="300" w:lineRule="exact"/>
      <w:ind w:firstLine="701"/>
      <w:jc w:val="both"/>
    </w:pPr>
  </w:style>
  <w:style w:type="character" w:customStyle="1" w:styleId="FontStyle25">
    <w:name w:val="Font Style25"/>
    <w:uiPriority w:val="99"/>
    <w:rsid w:val="00575E18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2F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2F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37&amp;dst=5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37&amp;dst=5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877A-3A1A-42D0-A8D9-0208B9B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Бугдашкина Александра Александровна</dc:creator>
  <cp:keywords/>
  <dc:description/>
  <cp:lastModifiedBy>Багрецова Елена Анатольевна</cp:lastModifiedBy>
  <cp:revision>60</cp:revision>
  <cp:lastPrinted>2023-08-23T02:34:00Z</cp:lastPrinted>
  <dcterms:created xsi:type="dcterms:W3CDTF">2024-08-12T06:27:00Z</dcterms:created>
  <dcterms:modified xsi:type="dcterms:W3CDTF">2024-08-22T08:28:00Z</dcterms:modified>
</cp:coreProperties>
</file>