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DF" w:rsidRDefault="00F67DDF" w:rsidP="00F67DDF">
      <w:pPr>
        <w:shd w:val="clear" w:color="auto" w:fill="FFFFFF"/>
        <w:spacing w:line="230" w:lineRule="exact"/>
        <w:ind w:left="72" w:firstLine="173"/>
        <w:jc w:val="right"/>
        <w:rPr>
          <w:color w:val="000000"/>
          <w:sz w:val="26"/>
          <w:szCs w:val="26"/>
        </w:rPr>
      </w:pPr>
    </w:p>
    <w:p w:rsidR="00F67DDF" w:rsidRDefault="00F67DDF" w:rsidP="00F67DDF">
      <w:pPr>
        <w:shd w:val="clear" w:color="auto" w:fill="FFFFFF"/>
        <w:spacing w:line="230" w:lineRule="exact"/>
        <w:ind w:left="72" w:firstLine="173"/>
        <w:jc w:val="right"/>
        <w:rPr>
          <w:color w:val="000000"/>
          <w:sz w:val="26"/>
          <w:szCs w:val="26"/>
        </w:rPr>
      </w:pPr>
    </w:p>
    <w:p w:rsidR="00F67DDF" w:rsidRDefault="00F67DDF" w:rsidP="00F67DDF">
      <w:pPr>
        <w:shd w:val="clear" w:color="auto" w:fill="FFFFFF"/>
        <w:spacing w:line="230" w:lineRule="exact"/>
        <w:ind w:left="72" w:firstLine="173"/>
        <w:jc w:val="right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>№ 1</w:t>
      </w:r>
    </w:p>
    <w:p w:rsidR="00F67DDF" w:rsidRDefault="00F67DDF" w:rsidP="00F67DDF">
      <w:pPr>
        <w:shd w:val="clear" w:color="auto" w:fill="FFFFFF"/>
        <w:spacing w:line="230" w:lineRule="exact"/>
        <w:ind w:left="72" w:firstLine="173"/>
        <w:jc w:val="right"/>
        <w:rPr>
          <w:bCs/>
          <w:color w:val="000000"/>
        </w:rPr>
      </w:pPr>
      <w:r>
        <w:rPr>
          <w:bCs/>
          <w:color w:val="000000"/>
        </w:rPr>
        <w:t>к решению сессии №30-2 от 15.11.2011 г.</w:t>
      </w:r>
    </w:p>
    <w:p w:rsidR="00F67DDF" w:rsidRDefault="00F67DDF" w:rsidP="00F67DDF">
      <w:pPr>
        <w:shd w:val="clear" w:color="auto" w:fill="FFFFFF"/>
        <w:spacing w:line="230" w:lineRule="exact"/>
        <w:ind w:left="72" w:firstLine="173"/>
        <w:jc w:val="right"/>
        <w:rPr>
          <w:bCs/>
          <w:color w:val="000000"/>
        </w:rPr>
      </w:pPr>
      <w:r>
        <w:rPr>
          <w:bCs/>
          <w:color w:val="000000"/>
        </w:rPr>
        <w:t xml:space="preserve"> Совета депутатов</w:t>
      </w:r>
    </w:p>
    <w:p w:rsidR="00F67DDF" w:rsidRDefault="00F67DDF" w:rsidP="00F67DDF">
      <w:pPr>
        <w:shd w:val="clear" w:color="auto" w:fill="FFFFFF"/>
        <w:spacing w:line="230" w:lineRule="exact"/>
        <w:ind w:left="72" w:firstLine="173"/>
        <w:jc w:val="right"/>
        <w:rPr>
          <w:color w:val="000000"/>
        </w:rPr>
      </w:pPr>
      <w:r>
        <w:rPr>
          <w:bCs/>
          <w:color w:val="000000"/>
        </w:rPr>
        <w:t>« О системе налогообложения в виде единого</w:t>
      </w:r>
      <w:r>
        <w:rPr>
          <w:color w:val="000000"/>
        </w:rPr>
        <w:t xml:space="preserve"> налога</w:t>
      </w:r>
    </w:p>
    <w:p w:rsidR="00F67DDF" w:rsidRDefault="00F67DDF" w:rsidP="00F67DDF">
      <w:pPr>
        <w:shd w:val="clear" w:color="auto" w:fill="FFFFFF"/>
        <w:spacing w:line="230" w:lineRule="exact"/>
        <w:ind w:left="72" w:firstLine="173"/>
        <w:jc w:val="right"/>
      </w:pPr>
      <w:r>
        <w:rPr>
          <w:color w:val="000000"/>
        </w:rPr>
        <w:t xml:space="preserve"> на вмененный </w:t>
      </w:r>
      <w:r>
        <w:rPr>
          <w:color w:val="000000"/>
          <w:spacing w:val="-1"/>
        </w:rPr>
        <w:t>доход для отдельных видов деятельности</w:t>
      </w:r>
    </w:p>
    <w:p w:rsidR="00F67DDF" w:rsidRDefault="00F67DDF" w:rsidP="00F67DDF">
      <w:pPr>
        <w:shd w:val="clear" w:color="auto" w:fill="FFFFFF"/>
        <w:spacing w:line="230" w:lineRule="exact"/>
        <w:ind w:firstLine="269"/>
        <w:jc w:val="right"/>
        <w:rPr>
          <w:color w:val="000000"/>
        </w:rPr>
      </w:pPr>
      <w:r>
        <w:rPr>
          <w:color w:val="000000"/>
        </w:rPr>
        <w:t>на территории МО «</w:t>
      </w:r>
      <w:proofErr w:type="spellStart"/>
      <w:r>
        <w:rPr>
          <w:color w:val="000000"/>
        </w:rPr>
        <w:t>Усть-Коксинский</w:t>
      </w:r>
      <w:proofErr w:type="spellEnd"/>
      <w:r>
        <w:rPr>
          <w:color w:val="000000"/>
        </w:rPr>
        <w:t xml:space="preserve"> район»</w:t>
      </w:r>
    </w:p>
    <w:p w:rsidR="00F67DDF" w:rsidRDefault="00F67DDF" w:rsidP="00F67DDF">
      <w:pPr>
        <w:shd w:val="clear" w:color="auto" w:fill="FFFFFF"/>
        <w:spacing w:line="230" w:lineRule="exact"/>
        <w:ind w:firstLine="269"/>
        <w:jc w:val="right"/>
      </w:pPr>
    </w:p>
    <w:p w:rsidR="00F67DDF" w:rsidRDefault="00F67DDF" w:rsidP="00F67DDF">
      <w:pPr>
        <w:shd w:val="clear" w:color="auto" w:fill="FFFFFF"/>
        <w:spacing w:line="230" w:lineRule="exact"/>
        <w:ind w:firstLine="269"/>
        <w:jc w:val="right"/>
      </w:pPr>
    </w:p>
    <w:p w:rsidR="00F67DDF" w:rsidRDefault="00F67DDF" w:rsidP="00F67DDF">
      <w:pPr>
        <w:shd w:val="clear" w:color="auto" w:fill="FFFFFF"/>
        <w:spacing w:before="120"/>
        <w:ind w:left="143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Значения корректирующего коэффициента базовой доходности К-2 на 2012 год</w:t>
      </w:r>
    </w:p>
    <w:p w:rsidR="00F67DDF" w:rsidRDefault="00F67DDF" w:rsidP="00F67DDF">
      <w:pPr>
        <w:shd w:val="clear" w:color="auto" w:fill="FFFFFF"/>
        <w:spacing w:before="120"/>
        <w:ind w:left="1435"/>
        <w:rPr>
          <w:b/>
          <w:bCs/>
          <w:color w:val="000000"/>
        </w:rPr>
      </w:pPr>
    </w:p>
    <w:tbl>
      <w:tblPr>
        <w:tblW w:w="11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5785"/>
        <w:gridCol w:w="236"/>
        <w:gridCol w:w="2928"/>
        <w:gridCol w:w="1741"/>
      </w:tblGrid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2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№ п /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>
              <w:rPr>
                <w:color w:val="000000"/>
                <w:spacing w:val="5"/>
                <w:sz w:val="18"/>
                <w:szCs w:val="18"/>
              </w:rPr>
              <w:t>Виды предпринимательской деятельности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spacing w:line="235" w:lineRule="exact"/>
              <w:ind w:left="888" w:right="9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2"/>
                <w:sz w:val="18"/>
                <w:szCs w:val="18"/>
              </w:rPr>
              <w:t xml:space="preserve">Значения </w:t>
            </w:r>
            <w:r>
              <w:rPr>
                <w:b/>
                <w:color w:val="000000"/>
                <w:spacing w:val="-5"/>
                <w:sz w:val="18"/>
                <w:szCs w:val="18"/>
              </w:rPr>
              <w:t>коэффициента К</w:t>
            </w:r>
            <w:r>
              <w:rPr>
                <w:b/>
                <w:bCs/>
                <w:color w:val="000000"/>
                <w:spacing w:val="-5"/>
                <w:sz w:val="18"/>
                <w:szCs w:val="18"/>
              </w:rPr>
              <w:t>-2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jc w:val="both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5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классификатором</w:t>
              </w:r>
            </w:hyperlink>
            <w:r>
              <w:rPr>
                <w:b/>
                <w:sz w:val="18"/>
                <w:szCs w:val="18"/>
              </w:rPr>
              <w:t xml:space="preserve"> услуг населению;</w:t>
            </w:r>
          </w:p>
          <w:p w:rsidR="00F67DDF" w:rsidRDefault="00F67DDF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49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28"/>
                <w:sz w:val="18"/>
                <w:szCs w:val="18"/>
              </w:rPr>
              <w:t>1..1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обуви и изделий из меха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496" w:firstLine="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0,496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металлоизделий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0,229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1.3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ремонт часов и ювелирных изделий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spacing w:line="230" w:lineRule="exact"/>
              <w:ind w:right="216" w:hanging="5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ремонт и обслуживание бытовой техники, компьютеров и оргтехники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0,610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5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услуги прачечных, химчисток и фотоателье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0,458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оказание парикмахерских услуг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1.7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spacing w:line="226" w:lineRule="exact"/>
              <w:ind w:right="38" w:firstLine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ремонт и пошив швейных, кожаных изделий, головных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уборов и изделий текстильной галантереи, ремонт, пошив и </w:t>
            </w:r>
            <w:r>
              <w:rPr>
                <w:color w:val="000000"/>
                <w:sz w:val="18"/>
                <w:szCs w:val="18"/>
              </w:rPr>
              <w:t>вязание трикотажных изделий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услуги по прокату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0,419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tabs>
                <w:tab w:val="left" w:leader="underscore" w:pos="461"/>
              </w:tabs>
              <w:ind w:left="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0"/>
              <w:rPr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Ритуальные услуги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3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0,458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tabs>
                <w:tab w:val="left" w:leader="underscore" w:pos="461"/>
              </w:tabs>
              <w:ind w:left="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иные бытовые услуги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0,699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tabs>
                <w:tab w:val="left" w:leader="underscore" w:pos="461"/>
              </w:tabs>
              <w:ind w:lef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1"/>
                <w:sz w:val="18"/>
                <w:szCs w:val="18"/>
              </w:rPr>
              <w:t>Оказание ветеринарных услуг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ind w:left="15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0,889</w:t>
            </w:r>
          </w:p>
          <w:p w:rsidR="00F67DDF" w:rsidRDefault="00F67DDF">
            <w:pPr>
              <w:shd w:val="clear" w:color="auto" w:fill="FFFFFF"/>
              <w:ind w:left="1519" w:firstLine="142"/>
              <w:rPr>
                <w:sz w:val="18"/>
                <w:szCs w:val="18"/>
              </w:rPr>
            </w:pPr>
          </w:p>
        </w:tc>
      </w:tr>
      <w:tr w:rsidR="00F67DDF" w:rsidTr="00F67DDF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3.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spacing w:line="230" w:lineRule="exact"/>
              <w:ind w:right="72" w:hanging="14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1"/>
                <w:sz w:val="18"/>
                <w:szCs w:val="18"/>
              </w:rPr>
              <w:t xml:space="preserve">Оказание услуг по ремонту, техническому обслуживанию и </w:t>
            </w:r>
            <w:r>
              <w:rPr>
                <w:b/>
                <w:color w:val="000000"/>
                <w:sz w:val="18"/>
                <w:szCs w:val="18"/>
              </w:rPr>
              <w:t>мойке автотранспортных средств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0,445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jc w:val="both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Оказание услуг по </w:t>
            </w:r>
            <w:hyperlink r:id="rId6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предоставлению во временное владение</w:t>
              </w:r>
            </w:hyperlink>
            <w:r>
              <w:rPr>
                <w:b/>
                <w:sz w:val="18"/>
                <w:szCs w:val="18"/>
              </w:rPr>
              <w:t xml:space="preserve"> (в пользование) мест для стоянки автотранспортных средств, а также по хранению автотранспортных средств на </w:t>
            </w:r>
            <w:hyperlink r:id="rId7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платных стоянках</w:t>
              </w:r>
            </w:hyperlink>
            <w:r>
              <w:rPr>
                <w:b/>
                <w:sz w:val="18"/>
                <w:szCs w:val="18"/>
              </w:rPr>
              <w:t xml:space="preserve"> (за исключением штрафных автостоянок);</w:t>
            </w:r>
          </w:p>
          <w:p w:rsidR="00F67DDF" w:rsidRDefault="00F67DDF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427" w:firstLine="10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ind w:firstLine="540"/>
              <w:jc w:val="both"/>
              <w:outlineLvl w:val="2"/>
              <w:rPr>
                <w:b/>
                <w:color w:val="000000"/>
                <w:spacing w:val="5"/>
                <w:sz w:val="18"/>
                <w:szCs w:val="18"/>
              </w:rPr>
            </w:pPr>
            <w:r>
              <w:rPr>
                <w:b/>
                <w:color w:val="000000"/>
                <w:spacing w:val="5"/>
                <w:sz w:val="18"/>
                <w:szCs w:val="18"/>
              </w:rPr>
              <w:t xml:space="preserve">Оказание </w:t>
            </w:r>
            <w:r>
              <w:rPr>
                <w:b/>
                <w:sz w:val="18"/>
                <w:szCs w:val="18"/>
              </w:rPr>
              <w:t xml:space="preserve">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</w:t>
            </w:r>
            <w:hyperlink r:id="rId8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транспортных средств</w:t>
              </w:r>
            </w:hyperlink>
            <w:r>
              <w:rPr>
                <w:b/>
                <w:sz w:val="18"/>
                <w:szCs w:val="18"/>
              </w:rPr>
              <w:t>, предназначенных для оказания таких услуг;</w:t>
            </w:r>
          </w:p>
          <w:p w:rsidR="00F67DDF" w:rsidRDefault="00F67DDF">
            <w:pPr>
              <w:shd w:val="clear" w:color="auto" w:fill="FFFFFF"/>
              <w:spacing w:line="226" w:lineRule="exact"/>
              <w:ind w:right="14" w:hanging="10"/>
              <w:rPr>
                <w:b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tabs>
                <w:tab w:val="left" w:leader="dot" w:pos="1541"/>
              </w:tabs>
              <w:spacing w:line="226" w:lineRule="exact"/>
              <w:ind w:left="10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 xml:space="preserve">                                            1,0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ind w:hanging="20"/>
              <w:jc w:val="both"/>
              <w:outlineLvl w:val="2"/>
              <w:rPr>
                <w:b/>
                <w:sz w:val="18"/>
                <w:szCs w:val="18"/>
              </w:rPr>
            </w:pPr>
            <w:hyperlink r:id="rId9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 xml:space="preserve">Розничная </w:t>
              </w:r>
              <w:proofErr w:type="gramStart"/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торговл</w:t>
              </w:r>
            </w:hyperlink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, осуществляемая через </w:t>
            </w:r>
            <w:hyperlink r:id="rId10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магазины</w:t>
              </w:r>
            </w:hyperlink>
            <w:r>
              <w:rPr>
                <w:b/>
                <w:sz w:val="18"/>
                <w:szCs w:val="18"/>
              </w:rPr>
              <w:t xml:space="preserve"> и </w:t>
            </w:r>
            <w:hyperlink r:id="rId11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павильоны</w:t>
              </w:r>
            </w:hyperlink>
            <w:r>
              <w:rPr>
                <w:b/>
                <w:sz w:val="18"/>
                <w:szCs w:val="18"/>
              </w:rPr>
              <w:t xml:space="preserve"> с </w:t>
            </w:r>
            <w:hyperlink r:id="rId12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площадью торгового зала</w:t>
              </w:r>
            </w:hyperlink>
            <w:r>
              <w:rPr>
                <w:b/>
                <w:sz w:val="18"/>
                <w:szCs w:val="18"/>
              </w:rPr>
              <w:t xml:space="preserve">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 (приложение № 2)</w:t>
            </w:r>
          </w:p>
          <w:p w:rsidR="00F67DDF" w:rsidRDefault="00F67DDF">
            <w:pPr>
              <w:shd w:val="clear" w:color="auto" w:fill="FFFFFF"/>
              <w:spacing w:line="226" w:lineRule="exact"/>
              <w:ind w:right="14" w:hanging="10"/>
              <w:rPr>
                <w:b/>
                <w:color w:val="000000"/>
                <w:spacing w:val="5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tabs>
                <w:tab w:val="left" w:leader="dot" w:pos="1541"/>
              </w:tabs>
              <w:spacing w:line="226" w:lineRule="exact"/>
              <w:ind w:left="10"/>
              <w:rPr>
                <w:color w:val="000000"/>
                <w:spacing w:val="-10"/>
                <w:sz w:val="18"/>
                <w:szCs w:val="18"/>
              </w:rPr>
            </w:pP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spacing w:line="226" w:lineRule="exact"/>
              <w:ind w:right="14" w:hanging="10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5"/>
                <w:sz w:val="18"/>
                <w:szCs w:val="18"/>
              </w:rPr>
              <w:t xml:space="preserve">Розничная   торговля,   осуществляемая   через   объекты 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spacing w:line="226" w:lineRule="exact"/>
              <w:ind w:left="48" w:right="86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tabs>
                <w:tab w:val="left" w:leader="dot" w:pos="1541"/>
              </w:tabs>
              <w:spacing w:line="226" w:lineRule="exact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Площадь одного</w:t>
            </w:r>
            <w:r>
              <w:rPr>
                <w:color w:val="000000"/>
                <w:spacing w:val="-10"/>
                <w:sz w:val="18"/>
                <w:szCs w:val="18"/>
              </w:rPr>
              <w:br/>
            </w:r>
            <w:r>
              <w:rPr>
                <w:color w:val="000000"/>
                <w:spacing w:val="-9"/>
                <w:sz w:val="18"/>
                <w:szCs w:val="18"/>
              </w:rPr>
              <w:t>торгового места</w:t>
            </w:r>
            <w:r>
              <w:rPr>
                <w:color w:val="000000"/>
                <w:spacing w:val="-9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превышает 5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54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0,470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2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Пиво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0,598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2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Овощи, фрукты, цветы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0,635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3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Автомобили, запчасти и аксессуары для автомобилей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0,775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Головные уборы и одежда из кожи и меха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0,800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spacing w:line="230" w:lineRule="exact"/>
              <w:ind w:right="68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Канцелярские товары, ученические тетради, книга и </w:t>
            </w:r>
            <w:r>
              <w:rPr>
                <w:color w:val="000000"/>
                <w:spacing w:val="1"/>
                <w:sz w:val="18"/>
                <w:szCs w:val="18"/>
              </w:rPr>
              <w:t>печатная продукция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0,315</w:t>
            </w:r>
          </w:p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3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Лесоматериалы в </w:t>
            </w:r>
            <w:proofErr w:type="spellStart"/>
            <w:r>
              <w:rPr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color w:val="000000"/>
                <w:sz w:val="18"/>
                <w:szCs w:val="18"/>
              </w:rPr>
              <w:t>. дрова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0,775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Комиссионные товары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0,381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Спортивные и туристические товары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0,381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5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Товары детского ассортимента (одежда, обувь, игрушки и т.д.)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0,496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Ювелирные изделия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0,775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Прочие товары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0,445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ind w:hanging="20"/>
              <w:jc w:val="both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Оказание </w:t>
            </w:r>
            <w:hyperlink r:id="rId13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услуг общественного питания</w:t>
              </w:r>
            </w:hyperlink>
            <w:r>
              <w:rPr>
                <w:b/>
                <w:sz w:val="18"/>
                <w:szCs w:val="18"/>
              </w:rPr>
              <w:t xml:space="preserve">, осуществляемых через объекты организации общественного питания с </w:t>
            </w:r>
            <w:hyperlink r:id="rId14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площадью зала обслуживания посетителей</w:t>
              </w:r>
            </w:hyperlink>
            <w:r>
              <w:rPr>
                <w:b/>
                <w:sz w:val="18"/>
                <w:szCs w:val="18"/>
              </w:rPr>
              <w:t xml:space="preserve"> не более 150 квадратных метров по каждому объекту организации общественного питания. Для целей настоящего </w:t>
            </w:r>
            <w:r>
              <w:rPr>
                <w:b/>
                <w:vanish/>
                <w:sz w:val="18"/>
                <w:szCs w:val="18"/>
              </w:rPr>
              <w:t xml:space="preserve">Решения </w:t>
            </w:r>
            <w:r>
              <w:rPr>
                <w:b/>
                <w:sz w:val="18"/>
                <w:szCs w:val="18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 (приложение № 2)</w:t>
            </w:r>
          </w:p>
          <w:p w:rsidR="00F67DDF" w:rsidRDefault="00F67DDF">
            <w:pPr>
              <w:shd w:val="clear" w:color="auto" w:fill="FFFFFF"/>
              <w:spacing w:line="226" w:lineRule="exact"/>
              <w:ind w:right="360"/>
              <w:rPr>
                <w:b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1"/>
                <w:sz w:val="18"/>
                <w:szCs w:val="18"/>
              </w:rPr>
              <w:t xml:space="preserve">Оказание услуг общественного питания, осуществляемых </w:t>
            </w:r>
          </w:p>
          <w:p w:rsidR="00F67DDF" w:rsidRDefault="00F67DDF">
            <w:pPr>
              <w:shd w:val="clear" w:color="auto" w:fill="FFFFFF"/>
              <w:spacing w:line="226" w:lineRule="exact"/>
              <w:ind w:right="360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8"/>
                <w:sz w:val="18"/>
                <w:szCs w:val="18"/>
              </w:rPr>
              <w:t xml:space="preserve">через объекты  организации общественного питания, не </w:t>
            </w:r>
            <w:r>
              <w:rPr>
                <w:b/>
                <w:color w:val="000000"/>
                <w:sz w:val="18"/>
                <w:szCs w:val="18"/>
              </w:rPr>
              <w:t>имеющие зала обслуживания посетителей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Распространение  наружной рекламы с использованием рекламных конструкций 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0,381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11.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shd w:val="clear" w:color="auto" w:fill="FFFFFF"/>
              <w:rPr>
                <w:b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color w:val="000000"/>
                <w:spacing w:val="12"/>
                <w:sz w:val="18"/>
                <w:szCs w:val="18"/>
              </w:rPr>
              <w:t>Размещение рекламы на транспортных средствах</w:t>
            </w:r>
          </w:p>
          <w:p w:rsidR="00F67DDF" w:rsidRDefault="00F67DDF">
            <w:pPr>
              <w:shd w:val="clear" w:color="auto" w:fill="FFFFFF"/>
              <w:rPr>
                <w:b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0,381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12.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ind w:hanging="20"/>
              <w:jc w:val="both"/>
              <w:outlineLvl w:val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      </w:r>
            <w:hyperlink r:id="rId15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помещений для временного размещения и проживания</w:t>
              </w:r>
            </w:hyperlink>
            <w:r>
              <w:rPr>
                <w:b/>
                <w:sz w:val="18"/>
                <w:szCs w:val="18"/>
              </w:rPr>
              <w:t xml:space="preserve"> не более 500 квадратных метров;</w:t>
            </w:r>
          </w:p>
          <w:p w:rsidR="00F67DDF" w:rsidRDefault="00F67DDF">
            <w:pPr>
              <w:shd w:val="clear" w:color="auto" w:fill="FFFFFF"/>
              <w:spacing w:line="226" w:lineRule="exact"/>
              <w:ind w:left="182" w:right="10" w:hanging="538"/>
              <w:rPr>
                <w:b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0,381</w:t>
            </w:r>
          </w:p>
        </w:tc>
      </w:tr>
      <w:tr w:rsidR="00F67DDF" w:rsidTr="00F67DDF">
        <w:trPr>
          <w:gridAfter w:val="1"/>
          <w:wAfter w:w="1741" w:type="dxa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13.     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ind w:right="1242"/>
              <w:jc w:val="both"/>
              <w:outlineLvl w:val="2"/>
              <w:rPr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t xml:space="preserve">оказание услуг по передаче во временное владение и (или) в пользование </w:t>
            </w:r>
            <w:hyperlink r:id="rId16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торговых мест</w:t>
              </w:r>
            </w:hyperlink>
            <w:r>
              <w:rPr>
                <w:b/>
                <w:sz w:val="18"/>
                <w:szCs w:val="18"/>
              </w:rPr>
              <w:t xml:space="preserve">, расположенных в объектах </w:t>
            </w:r>
            <w:hyperlink r:id="rId17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стационарной торговой сети, не имеющих торговых залов</w:t>
              </w:r>
            </w:hyperlink>
            <w:r>
              <w:rPr>
                <w:b/>
                <w:sz w:val="18"/>
                <w:szCs w:val="18"/>
              </w:rPr>
              <w:t xml:space="preserve">, объектов </w:t>
            </w:r>
            <w:hyperlink r:id="rId18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нестационарной торговой сети</w:t>
              </w:r>
            </w:hyperlink>
            <w:r>
              <w:rPr>
                <w:b/>
                <w:sz w:val="18"/>
                <w:szCs w:val="18"/>
              </w:rPr>
              <w:t xml:space="preserve">, а также объектов организации общественного питания, </w:t>
            </w:r>
            <w:hyperlink r:id="rId19" w:history="1">
              <w:r>
                <w:rPr>
                  <w:rStyle w:val="a5"/>
                  <w:b/>
                  <w:color w:val="auto"/>
                  <w:sz w:val="18"/>
                  <w:szCs w:val="18"/>
                  <w:u w:val="none"/>
                </w:rPr>
                <w:t>не имеющих зала обслуживания посетителей</w:t>
              </w:r>
            </w:hyperlink>
            <w:r>
              <w:rPr>
                <w:sz w:val="28"/>
                <w:szCs w:val="28"/>
              </w:rPr>
              <w:t>;</w:t>
            </w:r>
          </w:p>
          <w:p w:rsidR="00F67DDF" w:rsidRDefault="00F67DDF">
            <w:pPr>
              <w:shd w:val="clear" w:color="auto" w:fill="FFFFFF"/>
              <w:spacing w:line="206" w:lineRule="exact"/>
              <w:ind w:hanging="5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0,127</w:t>
            </w:r>
          </w:p>
        </w:tc>
      </w:tr>
      <w:tr w:rsidR="00F67DDF" w:rsidTr="00F67DDF">
        <w:trPr>
          <w:gridAfter w:val="1"/>
          <w:wAfter w:w="1741" w:type="dxa"/>
          <w:trHeight w:val="1356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DDF" w:rsidRDefault="00F67D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14.</w:t>
            </w:r>
          </w:p>
          <w:p w:rsidR="00F67DDF" w:rsidRDefault="00F67DDF">
            <w:pPr>
              <w:rPr>
                <w:b/>
                <w:sz w:val="18"/>
                <w:szCs w:val="18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hd w:val="clear" w:color="auto" w:fill="FFFFFF"/>
              <w:spacing w:line="202" w:lineRule="exact"/>
              <w:ind w:firstLine="10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Оказание  услуг по передаче во временное владение и (или) </w:t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в </w:t>
            </w:r>
            <w:r>
              <w:rPr>
                <w:b/>
                <w:color w:val="000000"/>
                <w:sz w:val="18"/>
                <w:szCs w:val="18"/>
              </w:rPr>
              <w:t>пользование земельных 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DDF" w:rsidRDefault="00F67DD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0,318</w:t>
            </w:r>
          </w:p>
        </w:tc>
      </w:tr>
    </w:tbl>
    <w:p w:rsidR="00F67DDF" w:rsidRDefault="00F67DDF" w:rsidP="00F67DDF">
      <w:pPr>
        <w:shd w:val="clear" w:color="auto" w:fill="FFFFFF"/>
        <w:spacing w:before="120"/>
        <w:rPr>
          <w:sz w:val="18"/>
          <w:szCs w:val="18"/>
        </w:rPr>
      </w:pPr>
    </w:p>
    <w:p w:rsidR="00F67DDF" w:rsidRDefault="00F67DDF" w:rsidP="00F67DDF">
      <w:pPr>
        <w:shd w:val="clear" w:color="auto" w:fill="FFFFFF"/>
        <w:tabs>
          <w:tab w:val="left" w:leader="underscore" w:pos="2179"/>
        </w:tabs>
        <w:spacing w:line="226" w:lineRule="exact"/>
        <w:ind w:right="6912"/>
        <w:rPr>
          <w:sz w:val="18"/>
          <w:szCs w:val="18"/>
        </w:rPr>
      </w:pPr>
    </w:p>
    <w:p w:rsidR="00F67DDF" w:rsidRDefault="00F67DDF" w:rsidP="00F67DDF">
      <w:pPr>
        <w:rPr>
          <w:sz w:val="18"/>
          <w:szCs w:val="18"/>
        </w:rPr>
      </w:pPr>
    </w:p>
    <w:p w:rsidR="00F67DDF" w:rsidRDefault="00F67DDF" w:rsidP="00F67DDF">
      <w:pPr>
        <w:pStyle w:val="a3"/>
        <w:ind w:left="-540"/>
        <w:rPr>
          <w:sz w:val="28"/>
          <w:szCs w:val="28"/>
        </w:rPr>
      </w:pPr>
    </w:p>
    <w:p w:rsidR="00F67DDF" w:rsidRDefault="00F67DDF" w:rsidP="00F67DDF">
      <w:pPr>
        <w:pStyle w:val="a3"/>
        <w:ind w:left="-540"/>
        <w:rPr>
          <w:sz w:val="28"/>
          <w:szCs w:val="28"/>
        </w:rPr>
      </w:pPr>
    </w:p>
    <w:p w:rsidR="00F67DDF" w:rsidRDefault="00F67DDF" w:rsidP="00F67DDF">
      <w:pPr>
        <w:pStyle w:val="a3"/>
        <w:ind w:left="-540"/>
        <w:rPr>
          <w:sz w:val="28"/>
          <w:szCs w:val="28"/>
        </w:rPr>
      </w:pPr>
    </w:p>
    <w:p w:rsidR="00F67DDF" w:rsidRDefault="00F67DDF" w:rsidP="00F67DDF">
      <w:pPr>
        <w:pStyle w:val="a3"/>
        <w:ind w:left="-540"/>
        <w:rPr>
          <w:sz w:val="28"/>
          <w:szCs w:val="28"/>
        </w:rPr>
      </w:pPr>
    </w:p>
    <w:p w:rsidR="00F67DDF" w:rsidRDefault="00F67DDF" w:rsidP="00F67DDF">
      <w:pPr>
        <w:pStyle w:val="a3"/>
        <w:ind w:left="-540"/>
        <w:rPr>
          <w:sz w:val="28"/>
          <w:szCs w:val="28"/>
        </w:rPr>
      </w:pPr>
      <w:bookmarkStart w:id="0" w:name="_GoBack"/>
      <w:bookmarkEnd w:id="0"/>
    </w:p>
    <w:sectPr w:rsidR="00F6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0A"/>
    <w:rsid w:val="008B1621"/>
    <w:rsid w:val="00A23502"/>
    <w:rsid w:val="00E9440A"/>
    <w:rsid w:val="00F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67D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67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67D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67D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F67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67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456;fld=134;dst=4170" TargetMode="External"/><Relationship Id="rId13" Type="http://schemas.openxmlformats.org/officeDocument/2006/relationships/hyperlink" Target="consultantplus://offline/main?base=LAW;n=115456;fld=134;dst=3456" TargetMode="External"/><Relationship Id="rId18" Type="http://schemas.openxmlformats.org/officeDocument/2006/relationships/hyperlink" Target="consultantplus://offline/main?base=LAW;n=115456;fld=134;dst=183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main?base=LAW;n=115456;fld=134;dst=4171" TargetMode="External"/><Relationship Id="rId12" Type="http://schemas.openxmlformats.org/officeDocument/2006/relationships/hyperlink" Target="consultantplus://offline/main?base=LAW;n=115456;fld=134;dst=1842" TargetMode="External"/><Relationship Id="rId17" Type="http://schemas.openxmlformats.org/officeDocument/2006/relationships/hyperlink" Target="consultantplus://offline/main?base=LAW;n=115456;fld=134;dst=34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LAW;n=115456;fld=134;dst=345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016;fld=134;dst=100655" TargetMode="External"/><Relationship Id="rId11" Type="http://schemas.openxmlformats.org/officeDocument/2006/relationships/hyperlink" Target="consultantplus://offline/main?base=LAW;n=115456;fld=134;dst=1847" TargetMode="External"/><Relationship Id="rId5" Type="http://schemas.openxmlformats.org/officeDocument/2006/relationships/hyperlink" Target="consultantplus://offline/main?base=LAW;n=112425;fld=134;dst=100069" TargetMode="External"/><Relationship Id="rId15" Type="http://schemas.openxmlformats.org/officeDocument/2006/relationships/hyperlink" Target="consultantplus://offline/main?base=LAW;n=115456;fld=134;dst=3461" TargetMode="External"/><Relationship Id="rId10" Type="http://schemas.openxmlformats.org/officeDocument/2006/relationships/hyperlink" Target="consultantplus://offline/main?base=LAW;n=115456;fld=134;dst=1846" TargetMode="External"/><Relationship Id="rId19" Type="http://schemas.openxmlformats.org/officeDocument/2006/relationships/hyperlink" Target="consultantplus://offline/main?base=LAW;n=115456;fld=134;dst=4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5456;fld=134;dst=4172" TargetMode="External"/><Relationship Id="rId14" Type="http://schemas.openxmlformats.org/officeDocument/2006/relationships/hyperlink" Target="consultantplus://offline/main?base=LAW;n=115456;fld=134;dst=18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Братанчук Наталья Михайловна</dc:creator>
  <cp:keywords/>
  <dc:description/>
  <cp:lastModifiedBy>Братанчук Наталья Михайловна</cp:lastModifiedBy>
  <cp:revision>2</cp:revision>
  <dcterms:created xsi:type="dcterms:W3CDTF">2017-06-23T07:44:00Z</dcterms:created>
  <dcterms:modified xsi:type="dcterms:W3CDTF">2017-06-23T07:44:00Z</dcterms:modified>
</cp:coreProperties>
</file>