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2F" w:rsidRPr="00E1132F" w:rsidRDefault="00B8266E" w:rsidP="00E1132F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759124" cy="978065"/>
            <wp:effectExtent l="0" t="0" r="3175" b="0"/>
            <wp:docPr id="2" name="Рисунок 2" descr="C:\Users\0500-01-740\Desktop\dc802e42be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00-01-740\Desktop\dc802e42be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26" cy="98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266E" w:rsidRDefault="00B8266E" w:rsidP="00E1132F">
      <w:pPr>
        <w:pStyle w:val="a6"/>
        <w:jc w:val="center"/>
        <w:rPr>
          <w:rStyle w:val="219pt"/>
          <w:sz w:val="36"/>
          <w:szCs w:val="36"/>
          <w:shd w:val="clear" w:color="auto" w:fill="auto"/>
          <w:lang w:val="en-US"/>
        </w:rPr>
      </w:pPr>
      <w:bookmarkStart w:id="1" w:name="bookmark0"/>
    </w:p>
    <w:p w:rsidR="00AD117F" w:rsidRDefault="00E1132F" w:rsidP="00E1132F">
      <w:pPr>
        <w:pStyle w:val="a6"/>
        <w:jc w:val="center"/>
        <w:rPr>
          <w:rStyle w:val="219pt"/>
          <w:sz w:val="36"/>
          <w:szCs w:val="36"/>
          <w:shd w:val="clear" w:color="auto" w:fill="auto"/>
        </w:rPr>
      </w:pPr>
      <w:r w:rsidRPr="00E1132F">
        <w:rPr>
          <w:rStyle w:val="219pt"/>
          <w:sz w:val="36"/>
          <w:szCs w:val="36"/>
          <w:shd w:val="clear" w:color="auto" w:fill="auto"/>
        </w:rPr>
        <w:t xml:space="preserve">РЕСПУБЛИКА ДАГЕСТАН </w:t>
      </w:r>
    </w:p>
    <w:p w:rsidR="00AD117F" w:rsidRDefault="00E1132F" w:rsidP="00E1132F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r w:rsidRPr="00E1132F">
        <w:rPr>
          <w:rFonts w:ascii="Times New Roman" w:hAnsi="Times New Roman" w:cs="Times New Roman"/>
          <w:sz w:val="36"/>
          <w:szCs w:val="36"/>
        </w:rPr>
        <w:t xml:space="preserve">СОБРАНИЕ ДЕПУТАТОВ ГОРОДСКОГО ОКРУГА </w:t>
      </w:r>
    </w:p>
    <w:p w:rsidR="00E1132F" w:rsidRPr="00E1132F" w:rsidRDefault="00E1132F" w:rsidP="00E1132F">
      <w:pPr>
        <w:pStyle w:val="a6"/>
        <w:jc w:val="center"/>
        <w:rPr>
          <w:rStyle w:val="20"/>
          <w:sz w:val="36"/>
          <w:szCs w:val="36"/>
          <w:u w:val="none"/>
          <w:shd w:val="clear" w:color="auto" w:fill="auto"/>
        </w:rPr>
      </w:pPr>
      <w:r w:rsidRPr="00E1132F">
        <w:rPr>
          <w:rStyle w:val="20"/>
          <w:sz w:val="36"/>
          <w:szCs w:val="36"/>
          <w:u w:val="none"/>
          <w:shd w:val="clear" w:color="auto" w:fill="auto"/>
        </w:rPr>
        <w:t>«ГОРОД ХАСАВЮРТ»</w:t>
      </w:r>
      <w:bookmarkEnd w:id="1"/>
    </w:p>
    <w:p w:rsidR="00AD117F" w:rsidRPr="00AD117F" w:rsidRDefault="00AD117F" w:rsidP="00E1132F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bookmarkStart w:id="2" w:name="bookmark1"/>
    </w:p>
    <w:p w:rsidR="00E1132F" w:rsidRPr="00E1132F" w:rsidRDefault="00E1132F" w:rsidP="00E1132F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r w:rsidRPr="00E1132F">
        <w:rPr>
          <w:rFonts w:ascii="Times New Roman" w:hAnsi="Times New Roman" w:cs="Times New Roman"/>
          <w:sz w:val="36"/>
          <w:szCs w:val="36"/>
        </w:rPr>
        <w:t>РЕШЕНИЕ</w:t>
      </w:r>
      <w:bookmarkEnd w:id="2"/>
    </w:p>
    <w:p w:rsidR="00E1132F" w:rsidRPr="00AD117F" w:rsidRDefault="00AD117F" w:rsidP="00E1132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D117F">
        <w:rPr>
          <w:rFonts w:ascii="Times New Roman" w:hAnsi="Times New Roman" w:cs="Times New Roman"/>
          <w:sz w:val="28"/>
          <w:szCs w:val="28"/>
        </w:rPr>
        <w:t xml:space="preserve">№ 18/3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D117F">
        <w:rPr>
          <w:rFonts w:ascii="Times New Roman" w:hAnsi="Times New Roman" w:cs="Times New Roman"/>
          <w:sz w:val="28"/>
          <w:szCs w:val="28"/>
        </w:rPr>
        <w:t xml:space="preserve">                         от 24.11.2014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D117F" w:rsidRPr="00AD117F" w:rsidRDefault="00AD117F" w:rsidP="00E1132F">
      <w:pPr>
        <w:pStyle w:val="a6"/>
        <w:jc w:val="center"/>
        <w:rPr>
          <w:rFonts w:ascii="Times New Roman" w:hAnsi="Times New Roman" w:cs="Times New Roman"/>
          <w:sz w:val="34"/>
          <w:szCs w:val="34"/>
        </w:rPr>
      </w:pPr>
    </w:p>
    <w:p w:rsidR="000B2F2F" w:rsidRPr="00E1132F" w:rsidRDefault="000B2F2F" w:rsidP="00E1132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132F">
        <w:rPr>
          <w:rFonts w:ascii="Times New Roman" w:hAnsi="Times New Roman" w:cs="Times New Roman"/>
          <w:b/>
          <w:sz w:val="28"/>
          <w:szCs w:val="28"/>
          <w:lang w:eastAsia="ru-RU"/>
        </w:rPr>
        <w:t>Об установлении земельного налога</w:t>
      </w:r>
    </w:p>
    <w:p w:rsidR="000B2F2F" w:rsidRPr="000B2F2F" w:rsidRDefault="000B2F2F" w:rsidP="000B2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главой 31 Налогового кодекса Российской Федерации с учетом изменений и дополнений, Федеральным законом от 06.10.2003 г. №131-ФЗ «Об об</w:t>
      </w: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 принципах организации местного самоуправления в Российской Федерации» с изменениями и дополнениями и Уставом Муниципального образования городской округ «город Хасавюрт»,-</w:t>
      </w:r>
    </w:p>
    <w:p w:rsidR="000B2F2F" w:rsidRPr="000B2F2F" w:rsidRDefault="000B2F2F" w:rsidP="000B2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2F2F" w:rsidRPr="000B2F2F" w:rsidRDefault="000B2F2F" w:rsidP="000B2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депутатов городского округа «город Хасавюрт»</w:t>
      </w:r>
    </w:p>
    <w:p w:rsidR="000B2F2F" w:rsidRDefault="000B2F2F" w:rsidP="000B2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B2F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РЕШИЛО:</w:t>
      </w:r>
    </w:p>
    <w:p w:rsidR="000B2F2F" w:rsidRPr="000B2F2F" w:rsidRDefault="000B2F2F" w:rsidP="000B2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2F" w:rsidRDefault="000B2F2F" w:rsidP="000B2F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на территории Муниципального образования городской округ «город Хасавюрт» земельный налог, порядок и сроки уплаты налога за земли, находящиеся в пределах границ Муниципального образования городской округ «город Хасавюрт».</w:t>
      </w:r>
    </w:p>
    <w:p w:rsidR="000B2F2F" w:rsidRDefault="000B2F2F" w:rsidP="000B2F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Налогоплательщиками налога признать организации и физические лица, обладающие земельными участками, признаваемые объектом налогообложения в соответствии со статьей 389 Налогового кодекса Российской Федерации, на праве собственности, праве постоянного (бессрочного) пользования или праве пожизненного наследуемого владения в</w:t>
      </w:r>
      <w:r w:rsidR="00AD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 границ Муниципального образования городской округ «город Хасавюрт».</w:t>
      </w:r>
    </w:p>
    <w:p w:rsidR="000B2F2F" w:rsidRDefault="000B2F2F" w:rsidP="000B2F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объектом налогообложения земельные участки, расположенные в границах территории Муниципального образования городской округ «город Хасавюрт».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2F2F" w:rsidRDefault="000B2F2F" w:rsidP="000B2F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налоговая база определяется, как кадастровая стоимость земельных участков, признаваемых объектом налогообложения в соответ</w:t>
      </w: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ствии со статьей 389 Налогового Кодекса Российской Федерации. Кадастровая стоимость земельного участка определяется в соответствии с земельным законодательством Российской Федерации. Налоговая база определяется в отношении каждого земельного участка как его кадастровая стоимость по состоянию на 01 января года, являющегося налоговым периодом.</w:t>
      </w:r>
    </w:p>
    <w:p w:rsidR="000B2F2F" w:rsidRDefault="00B8266E" w:rsidP="000B2F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ooltip="Ссылканасписокдокументов: ПриказРосреестраот11.03.2010NП/93 " w:history="1">
        <w:r w:rsidR="000B2F2F" w:rsidRPr="000B2F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Органы</w:t>
        </w:r>
      </w:hyperlink>
      <w:r w:rsidR="000B2F2F"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осуществляющие кадастровый учет, ведение государственного кадастра недвижимости и государственную регистрацию прав на недвижимое имущество и сделок с ним, представляют информацию в налоговые органы в соответствии с </w:t>
      </w:r>
      <w:hyperlink r:id="rId8" w:history="1">
        <w:r w:rsidR="000B2F2F" w:rsidRPr="000B2F2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4 статьи 85</w:t>
        </w:r>
      </w:hyperlink>
      <w:r w:rsidR="000B2F2F"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Федерации.</w:t>
      </w:r>
    </w:p>
    <w:p w:rsidR="000B2F2F" w:rsidRDefault="000B2F2F" w:rsidP="000B2F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Органы, осуществляющие кадастровый учет, ведение государственного кадастра недвижимости и государственную регистрацию прав на недвижимое имущество и сделок с ним, ежегодно до 1 февраля года, являющегося налоговым периодом, обязаны </w:t>
      </w:r>
      <w:hyperlink r:id="rId9" w:tooltip="ПриказФНСРФот13.01.2011NММВ-7-11/11@ " w:history="1">
        <w:r w:rsidRPr="000B2F2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сообщать</w:t>
        </w:r>
      </w:hyperlink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налоговые органы по месту своего нахождения сведения о земельных участках, признаваемых объектом налогообложения в соответствии со </w:t>
      </w:r>
      <w:hyperlink r:id="rId10" w:anchor="p15350" w:tooltip="Текущий документ" w:history="1">
        <w:r w:rsidRPr="000B2F2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статьей 389</w:t>
        </w:r>
      </w:hyperlink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Налогового кодекса Российской Федерации по состоянию на 1 января года, являющегося налоговым</w:t>
      </w:r>
      <w:proofErr w:type="gramEnd"/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периодом.</w:t>
      </w:r>
    </w:p>
    <w:p w:rsidR="000B2F2F" w:rsidRDefault="000B2F2F" w:rsidP="000B2F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</w:t>
      </w:r>
      <w:hyperlink r:id="rId11" w:anchor="p15483" w:tooltip="Текущий документ" w:history="1">
        <w:r w:rsidRPr="000B2F2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 </w:t>
        </w:r>
      </w:hyperlink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6настоящего решения, представляются органами, осуществляющими кадастровый учет, ведение государственного кадастра недвижимости и государственную регистрацию прав на недвижимое имущество и сделок с ним, по </w:t>
      </w:r>
      <w:hyperlink r:id="rId12" w:tooltip="ПриказФНСРФот13.01.2011NММВ-7-11/11@ " w:history="1">
        <w:r w:rsidRPr="000B2F2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форме</w:t>
        </w:r>
      </w:hyperlink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федеральным органом исполнительной власти, уполномоченным по контролю и надзору в области налогов и сборов. 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в </w:t>
      </w:r>
      <w:hyperlink r:id="rId13" w:tooltip="ПостановлениеПравительстваРФот07.02.2008N52 " w:history="1">
        <w:r w:rsidRPr="000B2F2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порядке</w:t>
        </w:r>
      </w:hyperlink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определенном уполномоченным Правительством Российской Федерации федеральным органом исполнительной власти.</w:t>
      </w:r>
    </w:p>
    <w:p w:rsidR="000B2F2F" w:rsidRPr="000B2F2F" w:rsidRDefault="000B2F2F" w:rsidP="000B2F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налоговые ставки в отношении следующих категорий налогоплательщиков:</w:t>
      </w:r>
    </w:p>
    <w:p w:rsidR="000B2F2F" w:rsidRPr="000B2F2F" w:rsidRDefault="000B2F2F" w:rsidP="000B2F2F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0,1 процента - инвалидов, имеющие I группу инвалидности, лица, имеющие II группу инвалидности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2F2F" w:rsidRPr="000B2F2F" w:rsidRDefault="000B2F2F" w:rsidP="000B2F2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с детства;</w:t>
      </w:r>
    </w:p>
    <w:p w:rsidR="000B2F2F" w:rsidRPr="000B2F2F" w:rsidRDefault="000B2F2F" w:rsidP="000B2F2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ветеранов и инвалидов Великой Отечественной войны, а также ветеранов и инвалидов боевых действий.</w:t>
      </w:r>
    </w:p>
    <w:p w:rsidR="000B2F2F" w:rsidRPr="000B2F2F" w:rsidRDefault="000B2F2F" w:rsidP="000B2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налоговые ставки в следующих размерах:</w:t>
      </w:r>
    </w:p>
    <w:p w:rsidR="000B2F2F" w:rsidRPr="000B2F2F" w:rsidRDefault="000B2F2F" w:rsidP="000B2F2F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0,3 процента в отношении земельных участков:</w:t>
      </w:r>
    </w:p>
    <w:p w:rsidR="000B2F2F" w:rsidRPr="000B2F2F" w:rsidRDefault="000B2F2F" w:rsidP="000B2F2F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0B2F2F" w:rsidRPr="000B2F2F" w:rsidRDefault="000B2F2F" w:rsidP="000B2F2F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занятых</w:t>
      </w:r>
      <w:proofErr w:type="gramEnd"/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0B2F2F" w:rsidRPr="000B2F2F" w:rsidRDefault="000B2F2F" w:rsidP="000B2F2F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приобретенных (предоставленных) для личного подсобного хозяйства, садоводства, огородничества или животноводства, а также дачных нужд;</w:t>
      </w:r>
    </w:p>
    <w:p w:rsidR="000B2F2F" w:rsidRPr="000B2F2F" w:rsidRDefault="000B2F2F" w:rsidP="000B2F2F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1,5 процента в отношении остальных прочих земельных участков.</w:t>
      </w:r>
    </w:p>
    <w:p w:rsidR="000B2F2F" w:rsidRPr="000B2F2F" w:rsidRDefault="000B2F2F" w:rsidP="00E113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395 Налогового кодекса Российской Федерации освободить от налогообложения:</w:t>
      </w:r>
    </w:p>
    <w:p w:rsidR="000B2F2F" w:rsidRPr="00E1132F" w:rsidRDefault="000B2F2F" w:rsidP="00E1132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и учреждения уголовно-исполнительной системы Министерства ю</w:t>
      </w:r>
      <w:r w:rsid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стиции Российской Федерации – в </w:t>
      </w: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0B2F2F" w:rsidRPr="00E1132F" w:rsidRDefault="000B2F2F" w:rsidP="00E1132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113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земельных участков, занятых государственными автомобильными дорогами общего пользования;</w:t>
      </w:r>
    </w:p>
    <w:p w:rsidR="000B2F2F" w:rsidRPr="00E1132F" w:rsidRDefault="000B2F2F" w:rsidP="00E1132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 силу. - Федеральный закон от 29.11.2004 N 141-ФЗ;</w:t>
      </w:r>
    </w:p>
    <w:p w:rsidR="000B2F2F" w:rsidRPr="00E1132F" w:rsidRDefault="000B2F2F" w:rsidP="00E1132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религиозные организации -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0B2F2F" w:rsidRPr="00E1132F" w:rsidRDefault="000B2F2F" w:rsidP="00E1132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0B2F2F" w:rsidRPr="00E1132F" w:rsidRDefault="000B2F2F" w:rsidP="00E1132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</w:t>
      </w:r>
      <w:proofErr w:type="gramEnd"/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E1132F" w:rsidRPr="00E1132F" w:rsidRDefault="000B2F2F" w:rsidP="000B2F2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учреждения, единственными </w:t>
      </w:r>
      <w:r w:rsidR="00AD117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собственниками,</w:t>
      </w: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E1132F" w:rsidRPr="00E1132F" w:rsidRDefault="000B2F2F" w:rsidP="000B2F2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промыслов;</w:t>
      </w:r>
    </w:p>
    <w:p w:rsidR="00E1132F" w:rsidRPr="00E1132F" w:rsidRDefault="000B2F2F" w:rsidP="000B2F2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лица, относящиеся к коренным малочисленным народам Севера, Сибири и Дальнего Востока Российской Федерации, а также общины таких народов </w:t>
      </w:r>
      <w:r w:rsid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113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земельных участков, используемых для сохранения и развития их традиционного образа жизни, хозяйствования и промыслов;</w:t>
      </w:r>
    </w:p>
    <w:p w:rsidR="00E1132F" w:rsidRPr="00E1132F" w:rsidRDefault="000B2F2F" w:rsidP="000B2F2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резиденты</w:t>
      </w:r>
      <w:r w:rsidR="00E113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особой экономической зоны, за исключением организаций, указанных </w:t>
      </w:r>
      <w:hyperlink r:id="rId14" w:anchor="Par14783" w:tooltip="Ссылка на текущий документ" w:history="1">
        <w:r w:rsidRPr="00E113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11</w:t>
        </w:r>
      </w:hyperlink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настоящей статьи, - в отношении земельных участков, расположенных на территории особой экономической </w:t>
      </w: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зоны, сроком на пять лет с месяца возникновения права собственности на каждый земельный участок;</w:t>
      </w:r>
    </w:p>
    <w:p w:rsidR="00E1132F" w:rsidRPr="00E1132F" w:rsidRDefault="000B2F2F" w:rsidP="000B2F2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признаваемые управляющими компаниями в соответствии с Федеральным законом "Об инновационном центре "</w:t>
      </w:r>
      <w:proofErr w:type="spellStart"/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Сколково</w:t>
      </w:r>
      <w:proofErr w:type="spellEnd"/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", - в отношении земельных участков, входящих в состав территории инновационного центра "</w:t>
      </w:r>
      <w:proofErr w:type="spellStart"/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Сколково</w:t>
      </w:r>
      <w:proofErr w:type="spellEnd"/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предоставленных (приобретенных) для непосредственного выполнения возложенных на эти организации функций в соответствии с указанным Федеральным законом;</w:t>
      </w:r>
      <w:bookmarkStart w:id="3" w:name="Par14783"/>
      <w:bookmarkEnd w:id="3"/>
    </w:p>
    <w:p w:rsidR="000B2F2F" w:rsidRPr="00E1132F" w:rsidRDefault="000B2F2F" w:rsidP="000B2F2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судостроительные организации, имеющие статус резидента промышленно-производственной особой экономической зоны, - в отношении земельных участков, занятых принадлежащими им на праве собственности и используемыми в целях строительства и ремонта судов зданиями, строениями, сооружениями производственного назначения, с даты регистрации таких организаций в качестве резидента особой экономической зоны сроком на десять лет.</w:t>
      </w:r>
      <w:proofErr w:type="gramEnd"/>
    </w:p>
    <w:p w:rsidR="00E1132F" w:rsidRPr="00E1132F" w:rsidRDefault="00E1132F" w:rsidP="00E113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F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налога исчисляется по истечении налогового периода как соответствующая налоговой ставке процентная доля налоговой базы.</w:t>
      </w: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F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Налогоплательщики-организации исчисляют сумму налога (сумму авансовых платежей по налогу) самостоятельно.</w:t>
      </w: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F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 – физические лица, являющиеся индивидуальными предпринимателями, исчисляют сумму налога (сумму авансовых платежей по налогу) самостоятельно в отношении земельных участков, используемых (предназначенных для использования) ими в предпринимательской деятельности.</w:t>
      </w: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F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налога, подлежащая уплате в бюджет по итогам налогового периода, определяется налогоплательщиками, являющимися организациями или индивидуальными предпринимателями, как разница между суммой налога, исчисленной в соответствии с пунктом 8 настоящего решения, и суммами подлежащих уплате в течение налогового периода авансовых платежей по налогу.</w:t>
      </w: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132F" w:rsidRPr="00E1132F" w:rsidRDefault="00E1132F" w:rsidP="00E113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F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Налогоплательщики-организации и </w:t>
      </w:r>
      <w:proofErr w:type="gramStart"/>
      <w:r w:rsidR="000B2F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лица, являющиеся индивидуальными предпринимателями исчисляют</w:t>
      </w:r>
      <w:proofErr w:type="gramEnd"/>
      <w:r w:rsidR="000B2F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авансовых платежей по налогу до 15 апреля, до 15 июля и до 15 октября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01 января года, являющегося налоговым периодом.</w:t>
      </w:r>
    </w:p>
    <w:p w:rsidR="00E1132F" w:rsidRPr="00E1132F" w:rsidRDefault="00E1132F" w:rsidP="00E113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F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Налогоплательщики, являющиеся физическими лицами, уплачивают налог на основании налогового уведомления, направленного налоговым органом не ранее 01 ноября года, следующего за истекшим налоговым периодом.</w:t>
      </w: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F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налогового уведомления допускается не более чем за три налоговых периода, предшествующих календарному году его направления.</w:t>
      </w: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132F" w:rsidRPr="00E1132F" w:rsidRDefault="00E1132F" w:rsidP="00E113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B2F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Налогоплательщики </w:t>
      </w:r>
      <w:r w:rsidR="00F9611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B2F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F96118" w:rsidRPr="00F9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F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физические лица, являющиеся индивидуальными предпринимателями, в отношении земельных участков, принадлежащих им на праве собственности или праве постоянного (бессрочного) пользования и используемых (предназначенных для использования) в предпринимательской деятельности, по истечении налогового периода представляют в налоговый орган по месту нахождения земельного участка налоговую декларацию по налогу не позднее 01 февраля года, следующего за истекшим налоговым периодом.</w:t>
      </w:r>
      <w:proofErr w:type="gramEnd"/>
    </w:p>
    <w:p w:rsidR="00E1132F" w:rsidRPr="00E1132F" w:rsidRDefault="00E1132F" w:rsidP="00E113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B2F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Налогоплательщики, имеющие право на налоговые льготы,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со статьей 389 Налогового кодекса Российской Федерации, не позднее 01 февраля года, следующего за истекшим налоговым периодом.</w:t>
      </w:r>
    </w:p>
    <w:p w:rsidR="00E1132F" w:rsidRPr="00E1132F" w:rsidRDefault="00E1132F" w:rsidP="00E113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F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 силу Решение Собрания депутатов городского округа от 25 ноября 2013 года № 5/3.</w:t>
      </w:r>
    </w:p>
    <w:p w:rsidR="00E1132F" w:rsidRPr="00E1132F" w:rsidRDefault="00E1132F" w:rsidP="00E113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F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2015г., но не ранее чем по истечении одного месяца со дня его официального опубликования и не ранее 1 числа очередного налогового периода по указанному налогу.</w:t>
      </w:r>
    </w:p>
    <w:p w:rsidR="000B2F2F" w:rsidRPr="00E1132F" w:rsidRDefault="00F96118" w:rsidP="00E113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F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официальному опубликованию на сайте Администрации Муниципального образования городской округ «город Хасавюрт» в сети Интернет</w:t>
      </w:r>
      <w:r w:rsidR="00E113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113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="000B2F2F" w:rsidRPr="00E1132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xacavurt.ru</w:t>
        </w:r>
      </w:hyperlink>
      <w:r w:rsidR="000B2F2F" w:rsidRPr="00E1132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печатных средствах массовой информации: в местной газете «Дружба».</w:t>
      </w:r>
    </w:p>
    <w:p w:rsidR="000B2F2F" w:rsidRPr="000B2F2F" w:rsidRDefault="000B2F2F" w:rsidP="000B2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BE1" w:rsidRDefault="000B2F2F" w:rsidP="00164BE1">
      <w:pPr>
        <w:framePr w:w="6590" w:h="2198" w:hSpace="469" w:wrap="auto" w:vAnchor="text" w:hAnchor="page" w:x="2262" w:y="5005"/>
        <w:jc w:val="center"/>
        <w:rPr>
          <w:rFonts w:cs="Times New Roman"/>
          <w:sz w:val="2"/>
          <w:szCs w:val="2"/>
        </w:rPr>
      </w:pPr>
      <w:r w:rsidRPr="000B2F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4BE1" w:rsidRPr="00F96118" w:rsidRDefault="00164BE1" w:rsidP="00164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cs="Times New Roman"/>
          <w:noProof/>
          <w:sz w:val="2"/>
          <w:szCs w:val="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53975</wp:posOffset>
            </wp:positionV>
            <wp:extent cx="4184015" cy="1397635"/>
            <wp:effectExtent l="0" t="0" r="6985" b="0"/>
            <wp:wrapThrough wrapText="bothSides">
              <wp:wrapPolygon edited="0">
                <wp:start x="0" y="0"/>
                <wp:lineTo x="0" y="21198"/>
                <wp:lineTo x="21538" y="21198"/>
                <wp:lineTo x="2153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32F" w:rsidRPr="00E113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164BE1" w:rsidRPr="00F96118" w:rsidRDefault="00164BE1" w:rsidP="00164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164BE1" w:rsidRPr="00F96118" w:rsidRDefault="00164BE1" w:rsidP="00164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164BE1" w:rsidRPr="00F96118" w:rsidRDefault="00164BE1" w:rsidP="00164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45349" w:rsidRPr="000B2F2F" w:rsidRDefault="00164BE1" w:rsidP="00164B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11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</w:t>
      </w:r>
      <w:r w:rsidRPr="000B2F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 w:rsidRPr="000B2F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УМАХАНОВ</w:t>
      </w:r>
    </w:p>
    <w:sectPr w:rsidR="00345349" w:rsidRPr="000B2F2F" w:rsidSect="00AD117F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451F"/>
    <w:multiLevelType w:val="hybridMultilevel"/>
    <w:tmpl w:val="F3D4AD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79145D"/>
    <w:multiLevelType w:val="hybridMultilevel"/>
    <w:tmpl w:val="C62CF78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7C3255"/>
    <w:multiLevelType w:val="hybridMultilevel"/>
    <w:tmpl w:val="56E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B44A3"/>
    <w:multiLevelType w:val="hybridMultilevel"/>
    <w:tmpl w:val="C696E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26090"/>
    <w:multiLevelType w:val="hybridMultilevel"/>
    <w:tmpl w:val="C8503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A792E"/>
    <w:multiLevelType w:val="hybridMultilevel"/>
    <w:tmpl w:val="06043692"/>
    <w:lvl w:ilvl="0" w:tplc="A3EAE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71D9B"/>
    <w:multiLevelType w:val="hybridMultilevel"/>
    <w:tmpl w:val="BF1C1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D966B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63F47"/>
    <w:multiLevelType w:val="hybridMultilevel"/>
    <w:tmpl w:val="868C1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3E492D"/>
    <w:multiLevelType w:val="hybridMultilevel"/>
    <w:tmpl w:val="1C78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F4B03"/>
    <w:multiLevelType w:val="hybridMultilevel"/>
    <w:tmpl w:val="CD4C98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175D1"/>
    <w:multiLevelType w:val="hybridMultilevel"/>
    <w:tmpl w:val="356274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90610"/>
    <w:multiLevelType w:val="hybridMultilevel"/>
    <w:tmpl w:val="AC3E4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2F"/>
    <w:rsid w:val="000B2F2F"/>
    <w:rsid w:val="00164BE1"/>
    <w:rsid w:val="00345349"/>
    <w:rsid w:val="00AD117F"/>
    <w:rsid w:val="00B8266E"/>
    <w:rsid w:val="00E1132F"/>
    <w:rsid w:val="00F9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2F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2F2F"/>
  </w:style>
  <w:style w:type="paragraph" w:styleId="a5">
    <w:name w:val="List Paragraph"/>
    <w:basedOn w:val="a"/>
    <w:uiPriority w:val="34"/>
    <w:qFormat/>
    <w:rsid w:val="000B2F2F"/>
    <w:pPr>
      <w:ind w:left="720"/>
      <w:contextualSpacing/>
    </w:pPr>
  </w:style>
  <w:style w:type="character" w:customStyle="1" w:styleId="2">
    <w:name w:val="Заголовок №2_"/>
    <w:basedOn w:val="a0"/>
    <w:link w:val="21"/>
    <w:rsid w:val="00E1132F"/>
    <w:rPr>
      <w:rFonts w:ascii="Times New Roman" w:hAnsi="Times New Roman" w:cs="Times New Roman"/>
      <w:sz w:val="34"/>
      <w:szCs w:val="34"/>
      <w:shd w:val="clear" w:color="auto" w:fill="FFFFFF"/>
    </w:rPr>
  </w:style>
  <w:style w:type="character" w:customStyle="1" w:styleId="219pt">
    <w:name w:val="Заголовок №2 + 19 pt"/>
    <w:basedOn w:val="2"/>
    <w:rsid w:val="00E1132F"/>
    <w:rPr>
      <w:rFonts w:ascii="Times New Roman" w:hAnsi="Times New Roman" w:cs="Times New Roman"/>
      <w:sz w:val="38"/>
      <w:szCs w:val="38"/>
      <w:shd w:val="clear" w:color="auto" w:fill="FFFFFF"/>
    </w:rPr>
  </w:style>
  <w:style w:type="character" w:customStyle="1" w:styleId="20">
    <w:name w:val="Заголовок №2"/>
    <w:basedOn w:val="2"/>
    <w:rsid w:val="00E1132F"/>
    <w:rPr>
      <w:rFonts w:ascii="Times New Roman" w:hAnsi="Times New Roman" w:cs="Times New Roman"/>
      <w:sz w:val="34"/>
      <w:szCs w:val="34"/>
      <w:u w:val="single"/>
      <w:shd w:val="clear" w:color="auto" w:fill="FFFFFF"/>
    </w:rPr>
  </w:style>
  <w:style w:type="paragraph" w:customStyle="1" w:styleId="21">
    <w:name w:val="Заголовок №21"/>
    <w:basedOn w:val="a"/>
    <w:link w:val="2"/>
    <w:rsid w:val="00E1132F"/>
    <w:pPr>
      <w:shd w:val="clear" w:color="auto" w:fill="FFFFFF"/>
      <w:spacing w:after="360" w:line="379" w:lineRule="exact"/>
      <w:jc w:val="center"/>
      <w:outlineLvl w:val="1"/>
    </w:pPr>
    <w:rPr>
      <w:rFonts w:ascii="Times New Roman" w:hAnsi="Times New Roman" w:cs="Times New Roman"/>
      <w:sz w:val="34"/>
      <w:szCs w:val="34"/>
    </w:rPr>
  </w:style>
  <w:style w:type="character" w:customStyle="1" w:styleId="1">
    <w:name w:val="Заголовок №1_"/>
    <w:basedOn w:val="a0"/>
    <w:link w:val="10"/>
    <w:rsid w:val="00E1132F"/>
    <w:rPr>
      <w:rFonts w:ascii="Times New Roman" w:hAnsi="Times New Roman" w:cs="Times New Roman"/>
      <w:sz w:val="38"/>
      <w:szCs w:val="38"/>
      <w:shd w:val="clear" w:color="auto" w:fill="FFFFFF"/>
    </w:rPr>
  </w:style>
  <w:style w:type="paragraph" w:customStyle="1" w:styleId="10">
    <w:name w:val="Заголовок №1"/>
    <w:basedOn w:val="a"/>
    <w:link w:val="1"/>
    <w:rsid w:val="00E1132F"/>
    <w:pPr>
      <w:shd w:val="clear" w:color="auto" w:fill="FFFFFF"/>
      <w:spacing w:before="360" w:after="3420" w:line="240" w:lineRule="atLeast"/>
      <w:jc w:val="center"/>
      <w:outlineLvl w:val="0"/>
    </w:pPr>
    <w:rPr>
      <w:rFonts w:ascii="Times New Roman" w:hAnsi="Times New Roman" w:cs="Times New Roman"/>
      <w:sz w:val="38"/>
      <w:szCs w:val="38"/>
    </w:rPr>
  </w:style>
  <w:style w:type="paragraph" w:styleId="a6">
    <w:name w:val="No Spacing"/>
    <w:uiPriority w:val="1"/>
    <w:qFormat/>
    <w:rsid w:val="00E1132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6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2F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2F2F"/>
  </w:style>
  <w:style w:type="paragraph" w:styleId="a5">
    <w:name w:val="List Paragraph"/>
    <w:basedOn w:val="a"/>
    <w:uiPriority w:val="34"/>
    <w:qFormat/>
    <w:rsid w:val="000B2F2F"/>
    <w:pPr>
      <w:ind w:left="720"/>
      <w:contextualSpacing/>
    </w:pPr>
  </w:style>
  <w:style w:type="character" w:customStyle="1" w:styleId="2">
    <w:name w:val="Заголовок №2_"/>
    <w:basedOn w:val="a0"/>
    <w:link w:val="21"/>
    <w:rsid w:val="00E1132F"/>
    <w:rPr>
      <w:rFonts w:ascii="Times New Roman" w:hAnsi="Times New Roman" w:cs="Times New Roman"/>
      <w:sz w:val="34"/>
      <w:szCs w:val="34"/>
      <w:shd w:val="clear" w:color="auto" w:fill="FFFFFF"/>
    </w:rPr>
  </w:style>
  <w:style w:type="character" w:customStyle="1" w:styleId="219pt">
    <w:name w:val="Заголовок №2 + 19 pt"/>
    <w:basedOn w:val="2"/>
    <w:rsid w:val="00E1132F"/>
    <w:rPr>
      <w:rFonts w:ascii="Times New Roman" w:hAnsi="Times New Roman" w:cs="Times New Roman"/>
      <w:sz w:val="38"/>
      <w:szCs w:val="38"/>
      <w:shd w:val="clear" w:color="auto" w:fill="FFFFFF"/>
    </w:rPr>
  </w:style>
  <w:style w:type="character" w:customStyle="1" w:styleId="20">
    <w:name w:val="Заголовок №2"/>
    <w:basedOn w:val="2"/>
    <w:rsid w:val="00E1132F"/>
    <w:rPr>
      <w:rFonts w:ascii="Times New Roman" w:hAnsi="Times New Roman" w:cs="Times New Roman"/>
      <w:sz w:val="34"/>
      <w:szCs w:val="34"/>
      <w:u w:val="single"/>
      <w:shd w:val="clear" w:color="auto" w:fill="FFFFFF"/>
    </w:rPr>
  </w:style>
  <w:style w:type="paragraph" w:customStyle="1" w:styleId="21">
    <w:name w:val="Заголовок №21"/>
    <w:basedOn w:val="a"/>
    <w:link w:val="2"/>
    <w:rsid w:val="00E1132F"/>
    <w:pPr>
      <w:shd w:val="clear" w:color="auto" w:fill="FFFFFF"/>
      <w:spacing w:after="360" w:line="379" w:lineRule="exact"/>
      <w:jc w:val="center"/>
      <w:outlineLvl w:val="1"/>
    </w:pPr>
    <w:rPr>
      <w:rFonts w:ascii="Times New Roman" w:hAnsi="Times New Roman" w:cs="Times New Roman"/>
      <w:sz w:val="34"/>
      <w:szCs w:val="34"/>
    </w:rPr>
  </w:style>
  <w:style w:type="character" w:customStyle="1" w:styleId="1">
    <w:name w:val="Заголовок №1_"/>
    <w:basedOn w:val="a0"/>
    <w:link w:val="10"/>
    <w:rsid w:val="00E1132F"/>
    <w:rPr>
      <w:rFonts w:ascii="Times New Roman" w:hAnsi="Times New Roman" w:cs="Times New Roman"/>
      <w:sz w:val="38"/>
      <w:szCs w:val="38"/>
      <w:shd w:val="clear" w:color="auto" w:fill="FFFFFF"/>
    </w:rPr>
  </w:style>
  <w:style w:type="paragraph" w:customStyle="1" w:styleId="10">
    <w:name w:val="Заголовок №1"/>
    <w:basedOn w:val="a"/>
    <w:link w:val="1"/>
    <w:rsid w:val="00E1132F"/>
    <w:pPr>
      <w:shd w:val="clear" w:color="auto" w:fill="FFFFFF"/>
      <w:spacing w:before="360" w:after="3420" w:line="240" w:lineRule="atLeast"/>
      <w:jc w:val="center"/>
      <w:outlineLvl w:val="0"/>
    </w:pPr>
    <w:rPr>
      <w:rFonts w:ascii="Times New Roman" w:hAnsi="Times New Roman" w:cs="Times New Roman"/>
      <w:sz w:val="38"/>
      <w:szCs w:val="38"/>
    </w:rPr>
  </w:style>
  <w:style w:type="paragraph" w:styleId="a6">
    <w:name w:val="No Spacing"/>
    <w:uiPriority w:val="1"/>
    <w:qFormat/>
    <w:rsid w:val="00E1132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6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s_8815B86B3E194929B6AA39C0E0F0B8A797A911BBAC7ABD9A473E533E3EBAC494/" TargetMode="External"/><Relationship Id="rId13" Type="http://schemas.openxmlformats.org/officeDocument/2006/relationships/hyperlink" Target="http://www.consultant.ru/document/cons_s_92D42C6DD03C53E924E4BE6D6FF4C71863BD714CB9B901B35D04A5F881E47B38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s_48E4574C16686B7367AD8803BB81162B39F52FB1E25A33C34ED944F5F60D1CDA/" TargetMode="External"/><Relationship Id="rId12" Type="http://schemas.openxmlformats.org/officeDocument/2006/relationships/hyperlink" Target="http://www.consultant.ru/document/cons_s_5426135D60E525FD817B16F46DAF587F3ECC8903E6807F582F13CA8F493219A2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onsultant.ru/popular/nalog2/3_1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acavurt.ru/" TargetMode="External"/><Relationship Id="rId10" Type="http://schemas.openxmlformats.org/officeDocument/2006/relationships/hyperlink" Target="http://www.consultant.ru/popular/nalog2/3_1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s_5426135D60E525FD817B16F46DAF587F3ECC8903E6807F582F13CA8F493219A2/" TargetMode="External"/><Relationship Id="rId14" Type="http://schemas.openxmlformats.org/officeDocument/2006/relationships/hyperlink" Target="file:///I:\%D0%BE%D0%B1%20%D1%83%D1%81%D1%82%D0%B0%D0%BD%D0%BE%D0%B2%D0%BB%D0%B5%D0%BD%D0%B8%D0%B8%20%D0%B7%D0%B5%D0%BC%D0%B5%D0%BB%D1%8C%D0%BD%D0%BE%D0%B3%D0%BE%20%D0%BD%D0%B0%D0%BB%D0%BE%D0%B3%D0%B0%20%D0%BD%D0%B0%202015%D0%B3.%20%E2%84%96%2018-3%20%D0%BE%D1%82%2024.11.14%D0%B3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Даудов Атлыгиши Даудович</dc:creator>
  <cp:lastModifiedBy>Даудов Атлыгиши Даудович</cp:lastModifiedBy>
  <cp:revision>3</cp:revision>
  <dcterms:created xsi:type="dcterms:W3CDTF">2016-11-01T08:46:00Z</dcterms:created>
  <dcterms:modified xsi:type="dcterms:W3CDTF">2016-11-01T09:46:00Z</dcterms:modified>
</cp:coreProperties>
</file>