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33B" w:rsidRDefault="00A1033B" w:rsidP="00A1033B">
      <w:pPr>
        <w:snapToGrid w:val="0"/>
        <w:jc w:val="center"/>
        <w:rPr>
          <w:sz w:val="28"/>
          <w:szCs w:val="20"/>
        </w:rPr>
      </w:pPr>
      <w:bookmarkStart w:id="0" w:name="_GoBack"/>
      <w:bookmarkEnd w:id="0"/>
      <w:r>
        <w:rPr>
          <w:noProof/>
          <w:sz w:val="28"/>
          <w:szCs w:val="20"/>
          <w:lang w:eastAsia="ru-RU"/>
        </w:rPr>
        <w:drawing>
          <wp:inline distT="0" distB="0" distL="0" distR="0">
            <wp:extent cx="619125" cy="800100"/>
            <wp:effectExtent l="19050" t="0" r="9525" b="0"/>
            <wp:docPr id="3" name="Рисунок 1" descr="Герб Махачкалы сжат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хачкалы сжаты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33B" w:rsidRDefault="00A1033B" w:rsidP="00A1033B">
      <w:pPr>
        <w:snapToGrid w:val="0"/>
        <w:jc w:val="center"/>
        <w:outlineLvl w:val="0"/>
        <w:rPr>
          <w:rFonts w:ascii="Arial" w:hAnsi="Arial" w:cs="Arial"/>
          <w:b/>
          <w:color w:val="0000FF"/>
          <w:sz w:val="32"/>
          <w:szCs w:val="20"/>
        </w:rPr>
      </w:pPr>
      <w:r>
        <w:rPr>
          <w:rFonts w:ascii="Arial" w:hAnsi="Arial" w:cs="Arial"/>
          <w:b/>
          <w:color w:val="0000FF"/>
          <w:sz w:val="32"/>
          <w:szCs w:val="20"/>
        </w:rPr>
        <w:t xml:space="preserve">СОБРАНИЕ ДЕПУТАТОВ ГОРОДСКОГО ОКРУГА </w:t>
      </w:r>
      <w:proofErr w:type="gramStart"/>
      <w:r>
        <w:rPr>
          <w:rFonts w:ascii="Arial" w:hAnsi="Arial" w:cs="Arial"/>
          <w:b/>
          <w:color w:val="0000FF"/>
          <w:sz w:val="32"/>
          <w:szCs w:val="20"/>
        </w:rPr>
        <w:t>С</w:t>
      </w:r>
      <w:proofErr w:type="gramEnd"/>
    </w:p>
    <w:p w:rsidR="00A1033B" w:rsidRDefault="00A1033B" w:rsidP="00A1033B">
      <w:pPr>
        <w:snapToGrid w:val="0"/>
        <w:jc w:val="center"/>
        <w:outlineLvl w:val="0"/>
        <w:rPr>
          <w:rFonts w:ascii="Arial" w:hAnsi="Arial" w:cs="Arial"/>
          <w:b/>
          <w:color w:val="0000FF"/>
          <w:sz w:val="32"/>
          <w:szCs w:val="20"/>
        </w:rPr>
      </w:pPr>
      <w:r>
        <w:rPr>
          <w:rFonts w:ascii="Arial" w:hAnsi="Arial" w:cs="Arial"/>
          <w:b/>
          <w:color w:val="0000FF"/>
          <w:sz w:val="32"/>
          <w:szCs w:val="20"/>
        </w:rPr>
        <w:t>ВНУТРИГОРОДСКИМ ДЕЛЕНИЕМ «ГОРОД МАХАЧКАЛА»</w:t>
      </w:r>
    </w:p>
    <w:p w:rsidR="00A1033B" w:rsidRDefault="00A1033B" w:rsidP="00A1033B">
      <w:pPr>
        <w:snapToGrid w:val="0"/>
        <w:jc w:val="center"/>
        <w:outlineLvl w:val="0"/>
        <w:rPr>
          <w:rFonts w:ascii="Arial" w:hAnsi="Arial" w:cs="Arial"/>
          <w:b/>
          <w:color w:val="0000FF"/>
          <w:spacing w:val="100"/>
          <w:sz w:val="38"/>
          <w:szCs w:val="38"/>
        </w:rPr>
      </w:pPr>
      <w:r>
        <w:rPr>
          <w:rFonts w:ascii="Arial" w:hAnsi="Arial" w:cs="Arial"/>
          <w:b/>
          <w:color w:val="0000FF"/>
          <w:spacing w:val="100"/>
          <w:sz w:val="38"/>
          <w:szCs w:val="38"/>
        </w:rPr>
        <w:t>РЕШЕНИЕ</w:t>
      </w:r>
    </w:p>
    <w:p w:rsidR="00A1033B" w:rsidRDefault="00A1033B" w:rsidP="00A1033B">
      <w:pPr>
        <w:snapToGrid w:val="0"/>
        <w:jc w:val="center"/>
        <w:outlineLvl w:val="0"/>
        <w:rPr>
          <w:rFonts w:ascii="Academy" w:hAnsi="Academy"/>
          <w:b/>
          <w:color w:val="0000FF"/>
          <w:sz w:val="8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A1033B" w:rsidTr="00F94DE0">
        <w:tc>
          <w:tcPr>
            <w:tcW w:w="10456" w:type="dxa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  <w:hideMark/>
          </w:tcPr>
          <w:p w:rsidR="00A1033B" w:rsidRDefault="00A1033B" w:rsidP="00F94DE0">
            <w:pPr>
              <w:snapToGrid w:val="0"/>
              <w:jc w:val="center"/>
              <w:rPr>
                <w:rFonts w:ascii="Arial" w:hAnsi="Arial"/>
                <w:bCs/>
                <w:sz w:val="19"/>
                <w:szCs w:val="19"/>
              </w:rPr>
            </w:pPr>
            <w:r>
              <w:rPr>
                <w:rFonts w:ascii="Arial" w:hAnsi="Arial"/>
                <w:bCs/>
                <w:sz w:val="19"/>
                <w:szCs w:val="19"/>
              </w:rPr>
              <w:t xml:space="preserve">367012, Республика Дагестан, г. Махачкала, пл. Ленина, 2 </w:t>
            </w:r>
            <w:r>
              <w:rPr>
                <w:rFonts w:ascii="Arial" w:hAnsi="Arial"/>
                <w:bCs/>
                <w:sz w:val="19"/>
                <w:szCs w:val="19"/>
              </w:rPr>
              <w:sym w:font="Wingdings" w:char="F028"/>
            </w:r>
            <w:r>
              <w:rPr>
                <w:rFonts w:ascii="Arial" w:hAnsi="Arial"/>
                <w:bCs/>
                <w:sz w:val="19"/>
                <w:szCs w:val="19"/>
              </w:rPr>
              <w:t xml:space="preserve"> (8722) 68-16-53, 68-16-58, </w:t>
            </w:r>
            <w:r>
              <w:rPr>
                <w:rFonts w:ascii="Arial" w:hAnsi="Arial"/>
                <w:bCs/>
                <w:sz w:val="19"/>
                <w:szCs w:val="19"/>
                <w:lang w:val="en-US"/>
              </w:rPr>
              <w:t>e</w:t>
            </w:r>
            <w:r>
              <w:rPr>
                <w:rFonts w:ascii="Arial" w:hAnsi="Arial"/>
                <w:bCs/>
                <w:sz w:val="19"/>
                <w:szCs w:val="19"/>
              </w:rPr>
              <w:t>-</w:t>
            </w:r>
            <w:r>
              <w:rPr>
                <w:rFonts w:ascii="Arial" w:hAnsi="Arial"/>
                <w:bCs/>
                <w:sz w:val="19"/>
                <w:szCs w:val="19"/>
                <w:lang w:val="en-US"/>
              </w:rPr>
              <w:t>mail</w:t>
            </w:r>
            <w:r>
              <w:rPr>
                <w:rFonts w:ascii="Arial" w:hAnsi="Arial"/>
                <w:bCs/>
                <w:sz w:val="19"/>
                <w:szCs w:val="19"/>
              </w:rPr>
              <w:t>: mgsobr@mail.ru</w:t>
            </w:r>
          </w:p>
        </w:tc>
      </w:tr>
    </w:tbl>
    <w:p w:rsidR="00A1033B" w:rsidRDefault="00A1033B" w:rsidP="00A1033B">
      <w:pPr>
        <w:tabs>
          <w:tab w:val="right" w:pos="10773"/>
        </w:tabs>
        <w:snapToGrid w:val="0"/>
        <w:jc w:val="center"/>
        <w:rPr>
          <w:sz w:val="8"/>
          <w:szCs w:val="4"/>
        </w:rPr>
      </w:pPr>
    </w:p>
    <w:p w:rsidR="00A1033B" w:rsidRPr="0091012D" w:rsidRDefault="00A1033B" w:rsidP="00A1033B">
      <w:pPr>
        <w:tabs>
          <w:tab w:val="right" w:pos="10206"/>
        </w:tabs>
        <w:snapToGrid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«</w:t>
      </w:r>
      <w:r>
        <w:rPr>
          <w:rFonts w:ascii="Times New Roman" w:hAnsi="Times New Roman"/>
          <w:sz w:val="26"/>
          <w:szCs w:val="26"/>
          <w:u w:val="single"/>
        </w:rPr>
        <w:t>18</w:t>
      </w:r>
      <w:r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  <w:u w:val="single"/>
        </w:rPr>
        <w:t>февраля</w:t>
      </w:r>
      <w:r>
        <w:rPr>
          <w:rFonts w:ascii="Times New Roman" w:hAnsi="Times New Roman"/>
          <w:sz w:val="26"/>
          <w:szCs w:val="26"/>
        </w:rPr>
        <w:t xml:space="preserve"> 2016 г.                                                                                            № </w:t>
      </w:r>
      <w:r w:rsidRPr="00764669">
        <w:rPr>
          <w:rFonts w:ascii="Times New Roman" w:hAnsi="Times New Roman"/>
          <w:sz w:val="26"/>
          <w:szCs w:val="26"/>
          <w:u w:val="single"/>
        </w:rPr>
        <w:t>6-</w:t>
      </w:r>
      <w:r w:rsidR="00DA4A1F">
        <w:rPr>
          <w:rFonts w:ascii="Times New Roman" w:hAnsi="Times New Roman"/>
          <w:sz w:val="26"/>
          <w:szCs w:val="26"/>
          <w:u w:val="single"/>
        </w:rPr>
        <w:t>2а</w:t>
      </w:r>
    </w:p>
    <w:p w:rsidR="00FF3640" w:rsidRDefault="00FF3640" w:rsidP="00FF3640">
      <w:pPr>
        <w:jc w:val="center"/>
        <w:rPr>
          <w:rFonts w:ascii="Times New Roman" w:hAnsi="Times New Roman"/>
          <w:b/>
          <w:sz w:val="28"/>
          <w:szCs w:val="28"/>
        </w:rPr>
      </w:pPr>
      <w:r w:rsidRPr="00FF3640">
        <w:rPr>
          <w:rFonts w:ascii="Times New Roman" w:hAnsi="Times New Roman"/>
          <w:b/>
          <w:sz w:val="28"/>
          <w:szCs w:val="28"/>
        </w:rPr>
        <w:t>О земельно</w:t>
      </w:r>
      <w:r w:rsidR="00333C26">
        <w:rPr>
          <w:rFonts w:ascii="Times New Roman" w:hAnsi="Times New Roman"/>
          <w:b/>
          <w:sz w:val="28"/>
          <w:szCs w:val="28"/>
        </w:rPr>
        <w:t>м</w:t>
      </w:r>
      <w:r w:rsidR="00BB66FD">
        <w:rPr>
          <w:rFonts w:ascii="Times New Roman" w:hAnsi="Times New Roman"/>
          <w:b/>
          <w:sz w:val="28"/>
          <w:szCs w:val="28"/>
        </w:rPr>
        <w:t xml:space="preserve"> </w:t>
      </w:r>
      <w:r w:rsidRPr="00FF3640">
        <w:rPr>
          <w:rFonts w:ascii="Times New Roman" w:hAnsi="Times New Roman"/>
          <w:b/>
          <w:sz w:val="28"/>
          <w:szCs w:val="28"/>
        </w:rPr>
        <w:t>нало</w:t>
      </w:r>
      <w:r w:rsidR="00505D64">
        <w:rPr>
          <w:rFonts w:ascii="Times New Roman" w:hAnsi="Times New Roman"/>
          <w:b/>
          <w:sz w:val="28"/>
          <w:szCs w:val="28"/>
        </w:rPr>
        <w:t>г</w:t>
      </w:r>
      <w:r w:rsidR="00D702B7">
        <w:rPr>
          <w:rFonts w:ascii="Times New Roman" w:hAnsi="Times New Roman"/>
          <w:b/>
          <w:sz w:val="28"/>
          <w:szCs w:val="28"/>
        </w:rPr>
        <w:t>е</w:t>
      </w:r>
    </w:p>
    <w:p w:rsidR="00FF3640" w:rsidRPr="009E3C47" w:rsidRDefault="00850A8A" w:rsidP="00D702B7">
      <w:pPr>
        <w:pStyle w:val="a8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</w:t>
      </w:r>
      <w:r w:rsidRPr="00850A8A">
        <w:rPr>
          <w:rFonts w:ascii="Times New Roman" w:hAnsi="Times New Roman"/>
          <w:sz w:val="28"/>
          <w:szCs w:val="28"/>
        </w:rPr>
        <w:t>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р</w:t>
      </w:r>
      <w:r w:rsidR="00FF3640" w:rsidRPr="009E3C47">
        <w:rPr>
          <w:rFonts w:ascii="Times New Roman" w:hAnsi="Times New Roman"/>
          <w:sz w:val="28"/>
          <w:szCs w:val="28"/>
        </w:rPr>
        <w:t xml:space="preserve">уководствуясь </w:t>
      </w:r>
      <w:r w:rsidR="00816A6B" w:rsidRPr="009E3C47">
        <w:rPr>
          <w:rFonts w:ascii="Times New Roman" w:hAnsi="Times New Roman"/>
          <w:sz w:val="28"/>
          <w:szCs w:val="28"/>
        </w:rPr>
        <w:t>главой 31 части второй</w:t>
      </w:r>
      <w:r w:rsidR="00FF3640" w:rsidRPr="009E3C47">
        <w:rPr>
          <w:rFonts w:ascii="Times New Roman" w:hAnsi="Times New Roman"/>
          <w:sz w:val="28"/>
          <w:szCs w:val="28"/>
        </w:rPr>
        <w:t xml:space="preserve"> Налогово</w:t>
      </w:r>
      <w:r w:rsidR="00DD16E8">
        <w:rPr>
          <w:rFonts w:ascii="Times New Roman" w:hAnsi="Times New Roman"/>
          <w:sz w:val="28"/>
          <w:szCs w:val="28"/>
        </w:rPr>
        <w:t>го кодекса Российской</w:t>
      </w:r>
      <w:r w:rsidR="009B0CFB">
        <w:rPr>
          <w:rFonts w:ascii="Times New Roman" w:hAnsi="Times New Roman"/>
          <w:sz w:val="28"/>
          <w:szCs w:val="28"/>
        </w:rPr>
        <w:t xml:space="preserve"> </w:t>
      </w:r>
      <w:r w:rsidR="00B6410D" w:rsidRPr="009E3C47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="00FF3640" w:rsidRPr="009E3C47">
        <w:rPr>
          <w:rFonts w:ascii="Times New Roman" w:hAnsi="Times New Roman"/>
          <w:sz w:val="28"/>
          <w:szCs w:val="28"/>
        </w:rPr>
        <w:t>Собрание депутатов городского ок</w:t>
      </w:r>
      <w:r w:rsidR="00DD16E8">
        <w:rPr>
          <w:rFonts w:ascii="Times New Roman" w:hAnsi="Times New Roman"/>
          <w:sz w:val="28"/>
          <w:szCs w:val="28"/>
        </w:rPr>
        <w:t xml:space="preserve">руга с внутригородским делением </w:t>
      </w:r>
      <w:r w:rsidR="00FF3640" w:rsidRPr="009E3C47">
        <w:rPr>
          <w:rFonts w:ascii="Times New Roman" w:hAnsi="Times New Roman"/>
          <w:sz w:val="28"/>
          <w:szCs w:val="28"/>
        </w:rPr>
        <w:t>«город Махачкала»</w:t>
      </w:r>
    </w:p>
    <w:p w:rsidR="00C4060A" w:rsidRDefault="00C4060A" w:rsidP="00C406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41F7B" w:rsidRDefault="00FF3640" w:rsidP="00C406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F22CD">
        <w:rPr>
          <w:rFonts w:ascii="Times New Roman" w:hAnsi="Times New Roman"/>
          <w:b/>
          <w:sz w:val="28"/>
          <w:szCs w:val="28"/>
        </w:rPr>
        <w:t>Решает:</w:t>
      </w:r>
    </w:p>
    <w:p w:rsidR="00C4060A" w:rsidRDefault="00C4060A" w:rsidP="00C406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16A6B" w:rsidRPr="003C7679" w:rsidRDefault="00DD16E8" w:rsidP="00C406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7679">
        <w:rPr>
          <w:rFonts w:ascii="Times New Roman" w:hAnsi="Times New Roman"/>
          <w:sz w:val="28"/>
          <w:szCs w:val="28"/>
        </w:rPr>
        <w:t xml:space="preserve">      1. </w:t>
      </w:r>
      <w:r w:rsidR="00ED05C1" w:rsidRPr="003C7679">
        <w:rPr>
          <w:rFonts w:ascii="Times New Roman" w:hAnsi="Times New Roman"/>
          <w:sz w:val="28"/>
          <w:szCs w:val="28"/>
        </w:rPr>
        <w:t>Установить и в</w:t>
      </w:r>
      <w:r w:rsidR="00816A6B" w:rsidRPr="003C7679">
        <w:rPr>
          <w:rFonts w:ascii="Times New Roman" w:hAnsi="Times New Roman"/>
          <w:sz w:val="28"/>
          <w:szCs w:val="28"/>
        </w:rPr>
        <w:t xml:space="preserve">вести </w:t>
      </w:r>
      <w:r w:rsidR="00ED05C1" w:rsidRPr="003C7679">
        <w:rPr>
          <w:rFonts w:ascii="Times New Roman" w:hAnsi="Times New Roman"/>
          <w:sz w:val="28"/>
          <w:szCs w:val="28"/>
        </w:rPr>
        <w:t xml:space="preserve">в действие </w:t>
      </w:r>
      <w:r w:rsidR="00816A6B" w:rsidRPr="00D702B7">
        <w:rPr>
          <w:rFonts w:ascii="Times New Roman" w:hAnsi="Times New Roman"/>
          <w:sz w:val="28"/>
          <w:szCs w:val="28"/>
        </w:rPr>
        <w:t xml:space="preserve">на </w:t>
      </w:r>
      <w:r w:rsidR="00D702B7" w:rsidRPr="00D702B7">
        <w:rPr>
          <w:rFonts w:ascii="Times New Roman" w:hAnsi="Times New Roman"/>
          <w:sz w:val="28"/>
          <w:szCs w:val="28"/>
        </w:rPr>
        <w:t xml:space="preserve">территории </w:t>
      </w:r>
      <w:r w:rsidR="00816A6B" w:rsidRPr="003C7679">
        <w:rPr>
          <w:rFonts w:ascii="Times New Roman" w:hAnsi="Times New Roman"/>
          <w:sz w:val="28"/>
          <w:szCs w:val="28"/>
        </w:rPr>
        <w:t xml:space="preserve">городского округа с внутригородским делением «город Махачкала»  земельный налог, порядок и сроки уплаты налога за земли, находящиеся в пределах границ </w:t>
      </w:r>
      <w:r w:rsidR="00A61D13" w:rsidRPr="003C7679">
        <w:rPr>
          <w:rFonts w:ascii="Times New Roman" w:hAnsi="Times New Roman"/>
          <w:sz w:val="28"/>
          <w:szCs w:val="28"/>
        </w:rPr>
        <w:t>городского округа с внутригородским делением «город Махачкала».</w:t>
      </w:r>
    </w:p>
    <w:p w:rsidR="00A61D13" w:rsidRPr="003C7679" w:rsidRDefault="00DD16E8" w:rsidP="003C767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C7679">
        <w:rPr>
          <w:rFonts w:ascii="Times New Roman" w:hAnsi="Times New Roman"/>
          <w:sz w:val="28"/>
          <w:szCs w:val="28"/>
        </w:rPr>
        <w:t>2.</w:t>
      </w:r>
      <w:r w:rsidR="00A61D13" w:rsidRPr="003C7679">
        <w:rPr>
          <w:rFonts w:ascii="Times New Roman" w:hAnsi="Times New Roman"/>
          <w:sz w:val="28"/>
          <w:szCs w:val="28"/>
        </w:rPr>
        <w:t>Налогоплательщиками налога признаются организации и физические лица, обладающие земельными участками, признаваемыми объектом налогообложения в соответствии со статьей 389 Налогового кодекса Российской Федерации, на праве собственности, праве постоянного (бессрочного) пользования или праве пожизненного наследуемого владения в пределах границ городского округа с внутригородским делением «город Махачкала».</w:t>
      </w:r>
    </w:p>
    <w:p w:rsidR="009E3C47" w:rsidRPr="003C7679" w:rsidRDefault="00DD16E8" w:rsidP="003C767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C7679">
        <w:rPr>
          <w:rFonts w:ascii="Times New Roman" w:hAnsi="Times New Roman"/>
          <w:bCs/>
          <w:sz w:val="28"/>
          <w:szCs w:val="28"/>
        </w:rPr>
        <w:t xml:space="preserve">3. </w:t>
      </w:r>
      <w:r w:rsidR="00DD000C" w:rsidRPr="003C7679">
        <w:rPr>
          <w:rFonts w:ascii="Times New Roman" w:hAnsi="Times New Roman"/>
          <w:bCs/>
          <w:sz w:val="28"/>
          <w:szCs w:val="28"/>
        </w:rPr>
        <w:t>Объектами налогообложения признаются земельные участки</w:t>
      </w:r>
      <w:r w:rsidR="00DD000C" w:rsidRPr="003C7679">
        <w:rPr>
          <w:rFonts w:ascii="Times New Roman" w:hAnsi="Times New Roman"/>
          <w:sz w:val="28"/>
          <w:szCs w:val="28"/>
        </w:rPr>
        <w:t>, расположенные в пределах территори</w:t>
      </w:r>
      <w:r w:rsidR="00D702B7">
        <w:rPr>
          <w:rFonts w:ascii="Times New Roman" w:hAnsi="Times New Roman"/>
          <w:sz w:val="28"/>
          <w:szCs w:val="28"/>
        </w:rPr>
        <w:t>и</w:t>
      </w:r>
      <w:r w:rsidR="00DD000C" w:rsidRPr="003C7679">
        <w:rPr>
          <w:rFonts w:ascii="Times New Roman" w:hAnsi="Times New Roman"/>
          <w:sz w:val="28"/>
          <w:szCs w:val="28"/>
        </w:rPr>
        <w:t>городского округа с внутригородским делением «город Махачкала», за исключением объектов налогообложения, указанных в части 2 статьи 389 Налогового кодекса Российской Федерации.</w:t>
      </w:r>
    </w:p>
    <w:p w:rsidR="009E3C47" w:rsidRPr="003C7679" w:rsidRDefault="00DD16E8" w:rsidP="003C767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C7679">
        <w:rPr>
          <w:rFonts w:ascii="Times New Roman" w:hAnsi="Times New Roman"/>
          <w:sz w:val="28"/>
          <w:szCs w:val="28"/>
        </w:rPr>
        <w:lastRenderedPageBreak/>
        <w:t>4.</w:t>
      </w:r>
      <w:r w:rsidR="00DD000C" w:rsidRPr="003C7679">
        <w:rPr>
          <w:rFonts w:ascii="Times New Roman" w:hAnsi="Times New Roman"/>
          <w:sz w:val="28"/>
          <w:szCs w:val="28"/>
        </w:rPr>
        <w:t>При исчислении земельного налога налоговая база определяется как кадастровая стоимость земельных участков, признаваемых объектом налогообложения в соответствии со</w:t>
      </w:r>
      <w:hyperlink r:id="rId6" w:history="1">
        <w:r w:rsidR="00DD000C" w:rsidRPr="00850A8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статьей 389</w:t>
        </w:r>
      </w:hyperlink>
      <w:r w:rsidR="00DD000C" w:rsidRPr="003C7679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Федерации, в отношении каждого земельного участка как его кадастровая стоимость по состоянию на 1 января года, являющегося налоговым периодом.</w:t>
      </w:r>
    </w:p>
    <w:p w:rsidR="009E3C47" w:rsidRPr="003C7679" w:rsidRDefault="00815290" w:rsidP="003C767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C7679">
        <w:rPr>
          <w:rFonts w:ascii="Times New Roman" w:hAnsi="Times New Roman"/>
          <w:sz w:val="28"/>
          <w:szCs w:val="28"/>
        </w:rPr>
        <w:t>Налогоплательщики – организации определяют налоговую базу самостоятельно на основании сведений государственного кадастра недвижимости о каждом земельном участке, принадлежащей им на праве собственности или праве постоянного (бессрочного) пользования.</w:t>
      </w:r>
    </w:p>
    <w:p w:rsidR="00641F7B" w:rsidRPr="003C7679" w:rsidRDefault="009E3C47" w:rsidP="003C767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C7679">
        <w:rPr>
          <w:rFonts w:ascii="Times New Roman" w:hAnsi="Times New Roman"/>
          <w:sz w:val="28"/>
          <w:szCs w:val="28"/>
        </w:rPr>
        <w:t xml:space="preserve">  5. </w:t>
      </w:r>
      <w:r w:rsidR="00641F7B" w:rsidRPr="003C7679">
        <w:rPr>
          <w:rFonts w:ascii="Times New Roman" w:hAnsi="Times New Roman"/>
          <w:sz w:val="28"/>
          <w:szCs w:val="28"/>
        </w:rPr>
        <w:t>Установить ставки земельного налога в следующих размерах:</w:t>
      </w:r>
    </w:p>
    <w:p w:rsidR="00641F7B" w:rsidRPr="003C7679" w:rsidRDefault="009E3C47" w:rsidP="003C767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C7679">
        <w:rPr>
          <w:rFonts w:ascii="Times New Roman" w:hAnsi="Times New Roman"/>
          <w:sz w:val="28"/>
          <w:szCs w:val="28"/>
        </w:rPr>
        <w:t xml:space="preserve">  5.1. </w:t>
      </w:r>
      <w:r w:rsidR="00641F7B" w:rsidRPr="003C7679">
        <w:rPr>
          <w:rFonts w:ascii="Times New Roman" w:hAnsi="Times New Roman"/>
          <w:sz w:val="28"/>
          <w:szCs w:val="28"/>
        </w:rPr>
        <w:t xml:space="preserve"> 0,3 процента в отношении земельных участков:</w:t>
      </w:r>
    </w:p>
    <w:p w:rsidR="00641F7B" w:rsidRPr="003C7679" w:rsidRDefault="000F72B4" w:rsidP="003C767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C7679">
        <w:rPr>
          <w:rFonts w:ascii="Times New Roman" w:hAnsi="Times New Roman"/>
          <w:sz w:val="28"/>
          <w:szCs w:val="28"/>
        </w:rPr>
        <w:t xml:space="preserve">    -  </w:t>
      </w:r>
      <w:r w:rsidR="00641F7B" w:rsidRPr="003C7679">
        <w:rPr>
          <w:rFonts w:ascii="Times New Roman" w:hAnsi="Times New Roman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641F7B" w:rsidRPr="003C7679" w:rsidRDefault="000F72B4" w:rsidP="003C767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C7679">
        <w:rPr>
          <w:rFonts w:ascii="Times New Roman" w:hAnsi="Times New Roman"/>
          <w:sz w:val="28"/>
          <w:szCs w:val="28"/>
        </w:rPr>
        <w:t xml:space="preserve">  - </w:t>
      </w:r>
      <w:proofErr w:type="gramStart"/>
      <w:r w:rsidR="00641F7B" w:rsidRPr="003C7679">
        <w:rPr>
          <w:rFonts w:ascii="Times New Roman" w:hAnsi="Times New Roman"/>
          <w:sz w:val="28"/>
          <w:szCs w:val="28"/>
        </w:rPr>
        <w:t>занятых</w:t>
      </w:r>
      <w:proofErr w:type="gramEnd"/>
      <w:r w:rsidR="009B0CFB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641F7B" w:rsidRPr="00D702B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жилищным фондом</w:t>
        </w:r>
      </w:hyperlink>
      <w:r w:rsidR="00641F7B" w:rsidRPr="003C7679">
        <w:rPr>
          <w:rFonts w:ascii="Times New Roman" w:hAnsi="Times New Roman"/>
          <w:sz w:val="28"/>
          <w:szCs w:val="28"/>
        </w:rPr>
        <w:t xml:space="preserve">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641F7B" w:rsidRPr="003C7679" w:rsidRDefault="000F72B4" w:rsidP="003C767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C7679">
        <w:rPr>
          <w:rFonts w:ascii="Times New Roman" w:hAnsi="Times New Roman"/>
          <w:sz w:val="28"/>
          <w:szCs w:val="28"/>
        </w:rPr>
        <w:t xml:space="preserve">   - </w:t>
      </w:r>
      <w:proofErr w:type="gramStart"/>
      <w:r w:rsidR="00641F7B" w:rsidRPr="003C7679">
        <w:rPr>
          <w:rFonts w:ascii="Times New Roman" w:hAnsi="Times New Roman"/>
          <w:sz w:val="28"/>
          <w:szCs w:val="28"/>
        </w:rPr>
        <w:t>приобретенных</w:t>
      </w:r>
      <w:proofErr w:type="gramEnd"/>
      <w:r w:rsidR="00641F7B" w:rsidRPr="003C7679">
        <w:rPr>
          <w:rFonts w:ascii="Times New Roman" w:hAnsi="Times New Roman"/>
          <w:sz w:val="28"/>
          <w:szCs w:val="28"/>
        </w:rPr>
        <w:t xml:space="preserve"> (предоставленных) для </w:t>
      </w:r>
      <w:hyperlink r:id="rId8" w:history="1">
        <w:r w:rsidR="00641F7B" w:rsidRPr="00D702B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личного подсобного хозяйства</w:t>
        </w:r>
      </w:hyperlink>
      <w:r w:rsidR="00641F7B" w:rsidRPr="003C7679">
        <w:rPr>
          <w:rFonts w:ascii="Times New Roman" w:hAnsi="Times New Roman"/>
          <w:sz w:val="28"/>
          <w:szCs w:val="28"/>
        </w:rPr>
        <w:t>, садоводства, огородничества или животноводства, а также дачного хозяйства;</w:t>
      </w:r>
    </w:p>
    <w:p w:rsidR="00641F7B" w:rsidRPr="003C7679" w:rsidRDefault="000F72B4" w:rsidP="003C767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C7679">
        <w:rPr>
          <w:rFonts w:ascii="Times New Roman" w:hAnsi="Times New Roman"/>
          <w:sz w:val="28"/>
          <w:szCs w:val="28"/>
        </w:rPr>
        <w:t xml:space="preserve">   - </w:t>
      </w:r>
      <w:r w:rsidR="00641F7B" w:rsidRPr="003C7679">
        <w:rPr>
          <w:rFonts w:ascii="Times New Roman" w:hAnsi="Times New Roman"/>
          <w:sz w:val="28"/>
          <w:szCs w:val="28"/>
        </w:rPr>
        <w:t xml:space="preserve">ограниченных в обороте в соответствии с </w:t>
      </w:r>
      <w:hyperlink r:id="rId9" w:history="1">
        <w:r w:rsidR="00641F7B" w:rsidRPr="00D702B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="00641F7B" w:rsidRPr="003C7679">
        <w:rPr>
          <w:rFonts w:ascii="Times New Roman" w:hAnsi="Times New Roman"/>
          <w:sz w:val="28"/>
          <w:szCs w:val="28"/>
        </w:rPr>
        <w:t>Российской Федерации, предоставленных для обеспечения обороны, безопасности и таможенных нужд;</w:t>
      </w:r>
    </w:p>
    <w:p w:rsidR="00641F7B" w:rsidRPr="003C7679" w:rsidRDefault="009E3C47" w:rsidP="003C767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C7679">
        <w:rPr>
          <w:rFonts w:ascii="Times New Roman" w:hAnsi="Times New Roman"/>
          <w:sz w:val="28"/>
          <w:szCs w:val="28"/>
        </w:rPr>
        <w:t xml:space="preserve"> 5.2. </w:t>
      </w:r>
      <w:r w:rsidR="00641F7B" w:rsidRPr="003C7679">
        <w:rPr>
          <w:rFonts w:ascii="Times New Roman" w:hAnsi="Times New Roman"/>
          <w:sz w:val="28"/>
          <w:szCs w:val="28"/>
        </w:rPr>
        <w:t>1,5 процента в отно</w:t>
      </w:r>
      <w:r w:rsidR="000F72B4" w:rsidRPr="003C7679">
        <w:rPr>
          <w:rFonts w:ascii="Times New Roman" w:hAnsi="Times New Roman"/>
          <w:sz w:val="28"/>
          <w:szCs w:val="28"/>
        </w:rPr>
        <w:t>шении прочих земельных участков.</w:t>
      </w:r>
    </w:p>
    <w:p w:rsidR="00083EC3" w:rsidRPr="003C7679" w:rsidRDefault="00083EC3" w:rsidP="003C767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C7679">
        <w:rPr>
          <w:rFonts w:ascii="Times New Roman" w:hAnsi="Times New Roman"/>
          <w:sz w:val="28"/>
          <w:szCs w:val="28"/>
        </w:rPr>
        <w:t xml:space="preserve">  6. </w:t>
      </w:r>
      <w:r w:rsidR="00815290" w:rsidRPr="003C7679">
        <w:rPr>
          <w:rFonts w:ascii="Times New Roman" w:hAnsi="Times New Roman"/>
          <w:sz w:val="28"/>
          <w:szCs w:val="28"/>
        </w:rPr>
        <w:t>Налогоплательщики –физические лица уплачивают налог</w:t>
      </w:r>
      <w:r w:rsidR="00770751" w:rsidRPr="003C7679">
        <w:rPr>
          <w:rFonts w:ascii="Times New Roman" w:hAnsi="Times New Roman"/>
          <w:sz w:val="28"/>
          <w:szCs w:val="28"/>
        </w:rPr>
        <w:t xml:space="preserve"> на основании налогового уведомления не позднее 1 декабря года, следующего за истекшим налоговым периодом.</w:t>
      </w:r>
    </w:p>
    <w:p w:rsidR="00770751" w:rsidRPr="003C7679" w:rsidRDefault="00770751" w:rsidP="003C767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C7679">
        <w:rPr>
          <w:rFonts w:ascii="Times New Roman" w:hAnsi="Times New Roman"/>
          <w:sz w:val="28"/>
          <w:szCs w:val="28"/>
        </w:rPr>
        <w:t xml:space="preserve"> 7. Установить отчетными периодами для налогоплательщиков - организаций первый квартал, второй квартал и третий квартал календарного года.</w:t>
      </w:r>
    </w:p>
    <w:p w:rsidR="00770751" w:rsidRPr="003C7679" w:rsidRDefault="00ED05C1" w:rsidP="003C767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C7679">
        <w:rPr>
          <w:rFonts w:ascii="Times New Roman" w:hAnsi="Times New Roman"/>
          <w:sz w:val="28"/>
          <w:szCs w:val="28"/>
        </w:rPr>
        <w:lastRenderedPageBreak/>
        <w:t>8</w:t>
      </w:r>
      <w:r w:rsidR="001937B5" w:rsidRPr="003C7679">
        <w:rPr>
          <w:rFonts w:ascii="Times New Roman" w:hAnsi="Times New Roman"/>
          <w:sz w:val="28"/>
          <w:szCs w:val="28"/>
        </w:rPr>
        <w:t xml:space="preserve">. </w:t>
      </w:r>
      <w:r w:rsidR="00770751" w:rsidRPr="003C7679">
        <w:rPr>
          <w:rFonts w:ascii="Times New Roman" w:hAnsi="Times New Roman"/>
          <w:sz w:val="28"/>
          <w:szCs w:val="28"/>
        </w:rPr>
        <w:t xml:space="preserve">Налогоплательщики - организации уплачивают авансовые платежи по налогу не позднее 30 апреля, 31 июля, 31 октября текущего налогового периода, как одну четвертую </w:t>
      </w:r>
      <w:r w:rsidR="001937B5" w:rsidRPr="003C7679">
        <w:rPr>
          <w:rFonts w:ascii="Times New Roman" w:hAnsi="Times New Roman"/>
          <w:sz w:val="28"/>
          <w:szCs w:val="28"/>
        </w:rPr>
        <w:t xml:space="preserve">соответствующей </w:t>
      </w:r>
      <w:r w:rsidR="00770751" w:rsidRPr="003C7679">
        <w:rPr>
          <w:rFonts w:ascii="Times New Roman" w:hAnsi="Times New Roman"/>
          <w:sz w:val="28"/>
          <w:szCs w:val="28"/>
        </w:rPr>
        <w:t>налоговой ставки процентной доли кадастровой стоимости земельного участка, по состоянию на 1 января года, являющегося налоговым периодом.</w:t>
      </w:r>
    </w:p>
    <w:p w:rsidR="00770751" w:rsidRPr="003C7679" w:rsidRDefault="00ED05C1" w:rsidP="003C767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C7679">
        <w:rPr>
          <w:rFonts w:ascii="Times New Roman" w:hAnsi="Times New Roman"/>
          <w:sz w:val="28"/>
          <w:szCs w:val="28"/>
        </w:rPr>
        <w:t>9</w:t>
      </w:r>
      <w:r w:rsidR="00770751" w:rsidRPr="003C7679">
        <w:rPr>
          <w:rFonts w:ascii="Times New Roman" w:hAnsi="Times New Roman"/>
          <w:sz w:val="28"/>
          <w:szCs w:val="28"/>
        </w:rPr>
        <w:t xml:space="preserve">. Налог, подлежащий уплате по истечении налогового периода, уплачивается </w:t>
      </w:r>
      <w:r w:rsidR="001937B5" w:rsidRPr="003C7679">
        <w:rPr>
          <w:rFonts w:ascii="Times New Roman" w:hAnsi="Times New Roman"/>
          <w:sz w:val="28"/>
          <w:szCs w:val="28"/>
        </w:rPr>
        <w:t>налогоплательщиками -</w:t>
      </w:r>
      <w:r w:rsidR="00770751" w:rsidRPr="003C7679">
        <w:rPr>
          <w:rFonts w:ascii="Times New Roman" w:hAnsi="Times New Roman"/>
          <w:sz w:val="28"/>
          <w:szCs w:val="28"/>
        </w:rPr>
        <w:t xml:space="preserve"> организациями не позднее 1 февраля года, следующего за истекшим налоговым периодом. Сумма налога, подлежащая уплате в местный бюджет по итогам налогового периода, определяется налогоплательщиками, являющимися организациями как разница между суммой налога, исчисленной в соответствии с </w:t>
      </w:r>
      <w:hyperlink r:id="rId10" w:history="1">
        <w:r w:rsidR="00770751" w:rsidRPr="00D702B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пунктом 1 статьи 396</w:t>
        </w:r>
      </w:hyperlink>
      <w:r w:rsidR="00770751" w:rsidRPr="003C7679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Федерации, и суммами подлежащи</w:t>
      </w:r>
      <w:r w:rsidR="00F969D5" w:rsidRPr="003C7679">
        <w:rPr>
          <w:rFonts w:ascii="Times New Roman" w:hAnsi="Times New Roman"/>
          <w:sz w:val="28"/>
          <w:szCs w:val="28"/>
        </w:rPr>
        <w:t xml:space="preserve">х </w:t>
      </w:r>
      <w:r w:rsidR="00770751" w:rsidRPr="003C7679">
        <w:rPr>
          <w:rFonts w:ascii="Times New Roman" w:hAnsi="Times New Roman"/>
          <w:sz w:val="28"/>
          <w:szCs w:val="28"/>
        </w:rPr>
        <w:t>уплате в течение налогового периода авансовых платежей по налогу.</w:t>
      </w:r>
    </w:p>
    <w:p w:rsidR="00124D11" w:rsidRPr="003C7679" w:rsidRDefault="001937B5" w:rsidP="003C767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C7679">
        <w:rPr>
          <w:rFonts w:ascii="Times New Roman" w:hAnsi="Times New Roman"/>
          <w:sz w:val="28"/>
          <w:szCs w:val="28"/>
        </w:rPr>
        <w:t>1</w:t>
      </w:r>
      <w:r w:rsidR="00ED05C1" w:rsidRPr="003C7679">
        <w:rPr>
          <w:rFonts w:ascii="Times New Roman" w:hAnsi="Times New Roman"/>
          <w:sz w:val="28"/>
          <w:szCs w:val="28"/>
        </w:rPr>
        <w:t>0</w:t>
      </w:r>
      <w:r w:rsidR="00124D11" w:rsidRPr="003C7679">
        <w:rPr>
          <w:rFonts w:ascii="Times New Roman" w:hAnsi="Times New Roman"/>
          <w:sz w:val="28"/>
          <w:szCs w:val="28"/>
        </w:rPr>
        <w:t>. Установить, что для организаций и физических лиц, имеющих в собственности земельные участки, являющиеся объект</w:t>
      </w:r>
      <w:r w:rsidR="00A015A8" w:rsidRPr="003C7679">
        <w:rPr>
          <w:rFonts w:ascii="Times New Roman" w:hAnsi="Times New Roman"/>
          <w:sz w:val="28"/>
          <w:szCs w:val="28"/>
        </w:rPr>
        <w:t xml:space="preserve">ом налогообложения на территориях внутригородских районов </w:t>
      </w:r>
      <w:r w:rsidR="00124D11" w:rsidRPr="003C7679">
        <w:rPr>
          <w:rFonts w:ascii="Times New Roman" w:hAnsi="Times New Roman"/>
          <w:sz w:val="28"/>
          <w:szCs w:val="28"/>
        </w:rPr>
        <w:t xml:space="preserve">городского округа с внутригородским делением «город Махачкала», льготы, установленные в соответствии со </w:t>
      </w:r>
      <w:hyperlink r:id="rId11" w:history="1">
        <w:r w:rsidR="00124D11" w:rsidRPr="00D702B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статьей 395</w:t>
        </w:r>
      </w:hyperlink>
      <w:r w:rsidR="00124D11" w:rsidRPr="003C7679">
        <w:rPr>
          <w:rFonts w:ascii="Times New Roman" w:hAnsi="Times New Roman"/>
          <w:sz w:val="28"/>
          <w:szCs w:val="28"/>
        </w:rPr>
        <w:t xml:space="preserve"> и пунктом 5 статьи 391 Налогового</w:t>
      </w:r>
      <w:r w:rsidR="00D702B7">
        <w:rPr>
          <w:rFonts w:ascii="Times New Roman" w:hAnsi="Times New Roman"/>
          <w:sz w:val="28"/>
          <w:szCs w:val="28"/>
        </w:rPr>
        <w:t xml:space="preserve"> кодекса Российской Федерации, </w:t>
      </w:r>
      <w:r w:rsidR="00124D11" w:rsidRPr="003C7679">
        <w:rPr>
          <w:rFonts w:ascii="Times New Roman" w:hAnsi="Times New Roman"/>
          <w:sz w:val="28"/>
          <w:szCs w:val="28"/>
        </w:rPr>
        <w:t>действуют в полном объеме.</w:t>
      </w:r>
    </w:p>
    <w:p w:rsidR="00F50557" w:rsidRPr="003C7679" w:rsidRDefault="00F50557" w:rsidP="002A5A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C7679">
        <w:rPr>
          <w:rFonts w:ascii="Times New Roman" w:hAnsi="Times New Roman"/>
          <w:sz w:val="28"/>
          <w:szCs w:val="28"/>
        </w:rPr>
        <w:t xml:space="preserve">  1</w:t>
      </w:r>
      <w:r w:rsidR="00ED05C1" w:rsidRPr="003C7679">
        <w:rPr>
          <w:rFonts w:ascii="Times New Roman" w:hAnsi="Times New Roman"/>
          <w:sz w:val="28"/>
          <w:szCs w:val="28"/>
        </w:rPr>
        <w:t>1</w:t>
      </w:r>
      <w:r w:rsidRPr="003C767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C7679">
        <w:rPr>
          <w:rFonts w:ascii="Times New Roman" w:hAnsi="Times New Roman"/>
          <w:sz w:val="28"/>
          <w:szCs w:val="28"/>
        </w:rPr>
        <w:t xml:space="preserve">Установить, что документы, подтверждающие право на льготы в соответствии с пунктом 5 </w:t>
      </w:r>
      <w:hyperlink r:id="rId12" w:history="1">
        <w:r w:rsidRPr="00D702B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статьи  391</w:t>
        </w:r>
      </w:hyperlink>
      <w:r w:rsidRPr="003C7679">
        <w:rPr>
          <w:rFonts w:ascii="Times New Roman" w:hAnsi="Times New Roman"/>
          <w:sz w:val="28"/>
          <w:szCs w:val="28"/>
        </w:rPr>
        <w:t xml:space="preserve"> главы 31 части второй Налогового кодекса Российской Федерации, представляются налогоплательщиками в налоговый орган по месту нахождения земельного участка, признаваемого объектом налогообложения в соответствии со </w:t>
      </w:r>
      <w:hyperlink r:id="rId13" w:history="1">
        <w:r w:rsidRPr="00D702B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статьей 389</w:t>
        </w:r>
      </w:hyperlink>
      <w:r w:rsidRPr="003C7679">
        <w:rPr>
          <w:rFonts w:ascii="Times New Roman" w:hAnsi="Times New Roman"/>
          <w:sz w:val="28"/>
          <w:szCs w:val="28"/>
        </w:rPr>
        <w:t xml:space="preserve"> главы 31 части второй Налогового кодекса Российской Федерации, до 1 февраля года, следующего за истекшим </w:t>
      </w:r>
      <w:hyperlink r:id="rId14" w:history="1">
        <w:r w:rsidRPr="00D702B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налоговым периодом</w:t>
        </w:r>
      </w:hyperlink>
      <w:r w:rsidRPr="00D702B7">
        <w:rPr>
          <w:rFonts w:ascii="Times New Roman" w:hAnsi="Times New Roman"/>
          <w:sz w:val="28"/>
          <w:szCs w:val="28"/>
        </w:rPr>
        <w:t>.</w:t>
      </w:r>
      <w:proofErr w:type="gramEnd"/>
    </w:p>
    <w:p w:rsidR="00F50557" w:rsidRPr="003C7679" w:rsidRDefault="00F50557" w:rsidP="002A5A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7679">
        <w:rPr>
          <w:rFonts w:ascii="Times New Roman" w:hAnsi="Times New Roman"/>
          <w:sz w:val="28"/>
          <w:szCs w:val="28"/>
        </w:rPr>
        <w:t>Налогоплательщики - физические лица, уплачивающие налог на основании налогового уведомления, имеющие право на налоговые льготы и уменьшение налогооблагаемой базы, должны в срок до 1 декабря года, следующего за истекшим налоговым периодом, подать в налоговые органы заявление с приложением документов, подтверждающих данное право.</w:t>
      </w:r>
      <w:proofErr w:type="gramEnd"/>
      <w:r w:rsidRPr="003C7679">
        <w:rPr>
          <w:rFonts w:ascii="Times New Roman" w:hAnsi="Times New Roman"/>
          <w:sz w:val="28"/>
          <w:szCs w:val="28"/>
        </w:rPr>
        <w:t xml:space="preserve"> Льгота предоставляется с момента возникновения права на льготу либо на уменьшение налогооблагаемой базы.</w:t>
      </w:r>
    </w:p>
    <w:p w:rsidR="00F50557" w:rsidRPr="003C7679" w:rsidRDefault="00F50557" w:rsidP="003C767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C7679">
        <w:rPr>
          <w:rFonts w:ascii="Times New Roman" w:hAnsi="Times New Roman"/>
          <w:sz w:val="28"/>
          <w:szCs w:val="28"/>
        </w:rPr>
        <w:t xml:space="preserve"> 1</w:t>
      </w:r>
      <w:r w:rsidR="00ED05C1" w:rsidRPr="003C7679">
        <w:rPr>
          <w:rFonts w:ascii="Times New Roman" w:hAnsi="Times New Roman"/>
          <w:sz w:val="28"/>
          <w:szCs w:val="28"/>
        </w:rPr>
        <w:t>2</w:t>
      </w:r>
      <w:r w:rsidR="002A5A66">
        <w:rPr>
          <w:rFonts w:ascii="Times New Roman" w:hAnsi="Times New Roman"/>
          <w:sz w:val="28"/>
          <w:szCs w:val="28"/>
        </w:rPr>
        <w:t>. Настоящее Р</w:t>
      </w:r>
      <w:r w:rsidRPr="003C7679">
        <w:rPr>
          <w:rFonts w:ascii="Times New Roman" w:hAnsi="Times New Roman"/>
          <w:sz w:val="28"/>
          <w:szCs w:val="28"/>
        </w:rPr>
        <w:t>ешение вступает в силу в соответствии с Налоговым кодексом Российской Федерации.</w:t>
      </w:r>
    </w:p>
    <w:p w:rsidR="00F50557" w:rsidRPr="003C7679" w:rsidRDefault="00F50557" w:rsidP="002A5A6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C7679">
        <w:rPr>
          <w:rFonts w:ascii="Times New Roman" w:hAnsi="Times New Roman"/>
          <w:sz w:val="28"/>
          <w:szCs w:val="28"/>
        </w:rPr>
        <w:t xml:space="preserve"> 1</w:t>
      </w:r>
      <w:r w:rsidR="00ED05C1" w:rsidRPr="003C7679">
        <w:rPr>
          <w:rFonts w:ascii="Times New Roman" w:hAnsi="Times New Roman"/>
          <w:sz w:val="28"/>
          <w:szCs w:val="28"/>
        </w:rPr>
        <w:t>3</w:t>
      </w:r>
      <w:r w:rsidRPr="003C7679">
        <w:rPr>
          <w:rFonts w:ascii="Times New Roman" w:hAnsi="Times New Roman"/>
          <w:sz w:val="28"/>
          <w:szCs w:val="28"/>
        </w:rPr>
        <w:t>. Со дн</w:t>
      </w:r>
      <w:r w:rsidR="003C7679" w:rsidRPr="003C7679">
        <w:rPr>
          <w:rFonts w:ascii="Times New Roman" w:hAnsi="Times New Roman"/>
          <w:sz w:val="28"/>
          <w:szCs w:val="28"/>
        </w:rPr>
        <w:t>я вступления в силу настоящего Решения признать утратившим</w:t>
      </w:r>
      <w:r w:rsidRPr="003C7679">
        <w:rPr>
          <w:rFonts w:ascii="Times New Roman" w:hAnsi="Times New Roman"/>
          <w:sz w:val="28"/>
          <w:szCs w:val="28"/>
        </w:rPr>
        <w:t xml:space="preserve"> силу Постановление Махачкалинского городского Собрания от 3 октября 2005 </w:t>
      </w:r>
      <w:r w:rsidRPr="003C7679">
        <w:rPr>
          <w:rFonts w:ascii="Times New Roman" w:hAnsi="Times New Roman"/>
          <w:sz w:val="28"/>
          <w:szCs w:val="28"/>
        </w:rPr>
        <w:lastRenderedPageBreak/>
        <w:t xml:space="preserve">г. </w:t>
      </w:r>
      <w:r w:rsidR="00BE6973" w:rsidRPr="003C7679">
        <w:rPr>
          <w:rFonts w:ascii="Times New Roman" w:hAnsi="Times New Roman"/>
          <w:sz w:val="28"/>
          <w:szCs w:val="28"/>
        </w:rPr>
        <w:t>№17-</w:t>
      </w:r>
      <w:r w:rsidR="002A5A66">
        <w:rPr>
          <w:rFonts w:ascii="Times New Roman" w:hAnsi="Times New Roman"/>
          <w:sz w:val="28"/>
          <w:szCs w:val="28"/>
        </w:rPr>
        <w:t xml:space="preserve">2в «О земельном налоге» в </w:t>
      </w:r>
      <w:r w:rsidR="00BE6973" w:rsidRPr="003C7679">
        <w:rPr>
          <w:rFonts w:ascii="Times New Roman" w:hAnsi="Times New Roman"/>
          <w:sz w:val="28"/>
          <w:szCs w:val="28"/>
        </w:rPr>
        <w:t>реда</w:t>
      </w:r>
      <w:r w:rsidR="00294E4B" w:rsidRPr="003C7679">
        <w:rPr>
          <w:rFonts w:ascii="Times New Roman" w:hAnsi="Times New Roman"/>
          <w:sz w:val="28"/>
          <w:szCs w:val="28"/>
        </w:rPr>
        <w:t>к</w:t>
      </w:r>
      <w:r w:rsidR="002A5A66">
        <w:rPr>
          <w:rFonts w:ascii="Times New Roman" w:hAnsi="Times New Roman"/>
          <w:sz w:val="28"/>
          <w:szCs w:val="28"/>
        </w:rPr>
        <w:t>циях</w:t>
      </w:r>
      <w:r w:rsidR="002A5A66" w:rsidRPr="002A5A66">
        <w:rPr>
          <w:rFonts w:ascii="Times New Roman" w:hAnsi="Times New Roman"/>
          <w:sz w:val="28"/>
          <w:szCs w:val="28"/>
        </w:rPr>
        <w:t xml:space="preserve"> Постановления Махачкалинского городского Собрания</w:t>
      </w:r>
      <w:r w:rsidR="002A5A66">
        <w:rPr>
          <w:rFonts w:ascii="Times New Roman" w:hAnsi="Times New Roman"/>
          <w:sz w:val="28"/>
          <w:szCs w:val="28"/>
        </w:rPr>
        <w:t xml:space="preserve"> от 02.02.2006г. № </w:t>
      </w:r>
      <w:r w:rsidR="002A5A66" w:rsidRPr="002A5A66">
        <w:rPr>
          <w:rFonts w:ascii="Times New Roman" w:hAnsi="Times New Roman"/>
          <w:sz w:val="28"/>
          <w:szCs w:val="28"/>
        </w:rPr>
        <w:t>21-2ж</w:t>
      </w:r>
      <w:proofErr w:type="gramStart"/>
      <w:r w:rsidR="002A5A66" w:rsidRPr="002A5A66">
        <w:rPr>
          <w:rFonts w:ascii="Times New Roman" w:hAnsi="Times New Roman"/>
          <w:sz w:val="28"/>
          <w:szCs w:val="28"/>
        </w:rPr>
        <w:t>,Р</w:t>
      </w:r>
      <w:proofErr w:type="gramEnd"/>
      <w:r w:rsidR="002A5A66" w:rsidRPr="002A5A66">
        <w:rPr>
          <w:rFonts w:ascii="Times New Roman" w:hAnsi="Times New Roman"/>
          <w:sz w:val="28"/>
          <w:szCs w:val="28"/>
        </w:rPr>
        <w:t>ешений Махачкалинского городского Собрания</w:t>
      </w:r>
      <w:r w:rsidR="002A5A66">
        <w:rPr>
          <w:rFonts w:ascii="Times New Roman" w:hAnsi="Times New Roman"/>
          <w:sz w:val="28"/>
          <w:szCs w:val="28"/>
        </w:rPr>
        <w:t xml:space="preserve"> от 17.02.2011г. № 4-3а, от 29.06.2011г. №</w:t>
      </w:r>
      <w:r w:rsidR="002A5A66" w:rsidRPr="002A5A66">
        <w:rPr>
          <w:rFonts w:ascii="Times New Roman" w:hAnsi="Times New Roman"/>
          <w:sz w:val="28"/>
          <w:szCs w:val="28"/>
        </w:rPr>
        <w:t xml:space="preserve"> 6-3,</w:t>
      </w:r>
      <w:r w:rsidR="002A5A66">
        <w:rPr>
          <w:rFonts w:ascii="Times New Roman" w:hAnsi="Times New Roman"/>
          <w:sz w:val="28"/>
          <w:szCs w:val="28"/>
        </w:rPr>
        <w:t xml:space="preserve"> от 26.02.2014г. № 26-3, от 20.11.2014г. №</w:t>
      </w:r>
      <w:r w:rsidR="002A5A66" w:rsidRPr="002A5A66">
        <w:rPr>
          <w:rFonts w:ascii="Times New Roman" w:hAnsi="Times New Roman"/>
          <w:sz w:val="28"/>
          <w:szCs w:val="28"/>
        </w:rPr>
        <w:t xml:space="preserve"> 33-4,</w:t>
      </w:r>
      <w:r w:rsidR="002A5A66">
        <w:rPr>
          <w:rFonts w:ascii="Times New Roman" w:hAnsi="Times New Roman"/>
          <w:sz w:val="28"/>
          <w:szCs w:val="28"/>
        </w:rPr>
        <w:t xml:space="preserve"> от 28.04.2015г. №</w:t>
      </w:r>
      <w:r w:rsidR="002A5A66" w:rsidRPr="002A5A66">
        <w:rPr>
          <w:rFonts w:ascii="Times New Roman" w:hAnsi="Times New Roman"/>
          <w:sz w:val="28"/>
          <w:szCs w:val="28"/>
        </w:rPr>
        <w:t xml:space="preserve"> 37-2,Решений Собрания депутатов городского округа</w:t>
      </w:r>
      <w:r w:rsidR="002A5A66">
        <w:rPr>
          <w:rFonts w:ascii="Times New Roman" w:hAnsi="Times New Roman"/>
          <w:sz w:val="28"/>
          <w:szCs w:val="28"/>
        </w:rPr>
        <w:t xml:space="preserve"> с внутригородским делением «город Махачкала» от 29.10.2015г. №</w:t>
      </w:r>
      <w:r w:rsidR="002A5A66" w:rsidRPr="002A5A66">
        <w:rPr>
          <w:rFonts w:ascii="Times New Roman" w:hAnsi="Times New Roman"/>
          <w:sz w:val="28"/>
          <w:szCs w:val="28"/>
        </w:rPr>
        <w:t xml:space="preserve"> 2-6</w:t>
      </w:r>
      <w:r w:rsidR="002A5A66">
        <w:rPr>
          <w:rFonts w:ascii="Times New Roman" w:hAnsi="Times New Roman"/>
          <w:sz w:val="28"/>
          <w:szCs w:val="28"/>
        </w:rPr>
        <w:t>, от 19.11.2015г. № 3-3.</w:t>
      </w:r>
    </w:p>
    <w:p w:rsidR="0086405F" w:rsidRPr="003C7679" w:rsidRDefault="0086405F" w:rsidP="003C7679">
      <w:pPr>
        <w:pStyle w:val="a7"/>
        <w:tabs>
          <w:tab w:val="left" w:pos="709"/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3C7679">
        <w:rPr>
          <w:sz w:val="28"/>
          <w:szCs w:val="28"/>
        </w:rPr>
        <w:t>1</w:t>
      </w:r>
      <w:r w:rsidR="00ED05C1" w:rsidRPr="003C7679">
        <w:rPr>
          <w:sz w:val="28"/>
          <w:szCs w:val="28"/>
        </w:rPr>
        <w:t>4</w:t>
      </w:r>
      <w:r w:rsidRPr="003C7679">
        <w:rPr>
          <w:sz w:val="28"/>
          <w:szCs w:val="28"/>
        </w:rPr>
        <w:t>.</w:t>
      </w:r>
      <w:r w:rsidR="007F22CD" w:rsidRPr="003C7679">
        <w:rPr>
          <w:sz w:val="28"/>
          <w:szCs w:val="28"/>
        </w:rPr>
        <w:t>Настоящее Решение опубликова</w:t>
      </w:r>
      <w:r w:rsidRPr="003C7679">
        <w:rPr>
          <w:sz w:val="28"/>
          <w:szCs w:val="28"/>
        </w:rPr>
        <w:t>ть</w:t>
      </w:r>
      <w:r w:rsidR="007F22CD" w:rsidRPr="003C7679">
        <w:rPr>
          <w:sz w:val="28"/>
          <w:szCs w:val="28"/>
        </w:rPr>
        <w:t xml:space="preserve"> в г</w:t>
      </w:r>
      <w:r w:rsidRPr="003C7679">
        <w:rPr>
          <w:sz w:val="28"/>
          <w:szCs w:val="28"/>
        </w:rPr>
        <w:t xml:space="preserve">азете «Махачкалинские известия» и </w:t>
      </w:r>
      <w:r w:rsidR="007F22CD" w:rsidRPr="003C7679">
        <w:rPr>
          <w:sz w:val="28"/>
          <w:szCs w:val="28"/>
        </w:rPr>
        <w:t>разме</w:t>
      </w:r>
      <w:r w:rsidRPr="003C7679">
        <w:rPr>
          <w:sz w:val="28"/>
          <w:szCs w:val="28"/>
        </w:rPr>
        <w:t>стить</w:t>
      </w:r>
      <w:r w:rsidR="007F22CD" w:rsidRPr="003C7679">
        <w:rPr>
          <w:sz w:val="28"/>
          <w:szCs w:val="28"/>
        </w:rPr>
        <w:t xml:space="preserve"> на официальном </w:t>
      </w:r>
      <w:r w:rsidRPr="003C7679">
        <w:rPr>
          <w:sz w:val="28"/>
          <w:szCs w:val="28"/>
        </w:rPr>
        <w:t xml:space="preserve">сайте </w:t>
      </w:r>
      <w:r w:rsidR="007F22CD" w:rsidRPr="003C7679">
        <w:rPr>
          <w:sz w:val="28"/>
          <w:szCs w:val="28"/>
        </w:rPr>
        <w:t>в сети «Интернет»</w:t>
      </w:r>
      <w:r w:rsidRPr="003C7679">
        <w:rPr>
          <w:sz w:val="28"/>
          <w:szCs w:val="28"/>
        </w:rPr>
        <w:t>по адресу: http://www.mkala.ru.</w:t>
      </w:r>
    </w:p>
    <w:p w:rsidR="00770751" w:rsidRPr="003C7679" w:rsidRDefault="00770751" w:rsidP="003C767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22CD" w:rsidRPr="007F22CD" w:rsidRDefault="007F22CD" w:rsidP="003C7679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F22CD">
        <w:rPr>
          <w:rFonts w:ascii="Times New Roman" w:hAnsi="Times New Roman"/>
          <w:b/>
          <w:sz w:val="28"/>
          <w:szCs w:val="28"/>
        </w:rPr>
        <w:t xml:space="preserve">Глава города Махачкалы </w:t>
      </w:r>
      <w:r w:rsidRPr="007F22CD">
        <w:rPr>
          <w:rFonts w:ascii="Times New Roman" w:hAnsi="Times New Roman"/>
          <w:b/>
          <w:sz w:val="28"/>
          <w:szCs w:val="28"/>
        </w:rPr>
        <w:tab/>
      </w:r>
      <w:r w:rsidRPr="007F22CD">
        <w:rPr>
          <w:rFonts w:ascii="Times New Roman" w:hAnsi="Times New Roman"/>
          <w:b/>
          <w:sz w:val="28"/>
          <w:szCs w:val="28"/>
        </w:rPr>
        <w:tab/>
      </w:r>
      <w:r w:rsidRPr="007F22CD">
        <w:rPr>
          <w:rFonts w:ascii="Times New Roman" w:hAnsi="Times New Roman"/>
          <w:b/>
          <w:sz w:val="28"/>
          <w:szCs w:val="28"/>
        </w:rPr>
        <w:tab/>
      </w:r>
      <w:r w:rsidRPr="007F22CD">
        <w:rPr>
          <w:rFonts w:ascii="Times New Roman" w:hAnsi="Times New Roman"/>
          <w:b/>
          <w:sz w:val="28"/>
          <w:szCs w:val="28"/>
        </w:rPr>
        <w:tab/>
        <w:t>М. Мусаев</w:t>
      </w:r>
    </w:p>
    <w:p w:rsidR="007F22CD" w:rsidRPr="007F22CD" w:rsidRDefault="007F22CD" w:rsidP="003C7679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576E9" w:rsidRPr="000F72B4" w:rsidRDefault="007F22CD" w:rsidP="003C767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F22CD">
        <w:rPr>
          <w:rFonts w:ascii="Times New Roman" w:hAnsi="Times New Roman"/>
          <w:b/>
          <w:sz w:val="28"/>
          <w:szCs w:val="28"/>
        </w:rPr>
        <w:t>Председатель Собрания</w:t>
      </w:r>
      <w:r w:rsidRPr="007F22CD">
        <w:rPr>
          <w:rFonts w:ascii="Times New Roman" w:hAnsi="Times New Roman"/>
          <w:b/>
          <w:sz w:val="28"/>
          <w:szCs w:val="28"/>
        </w:rPr>
        <w:tab/>
      </w:r>
      <w:r w:rsidRPr="007F22CD">
        <w:rPr>
          <w:rFonts w:ascii="Times New Roman" w:hAnsi="Times New Roman"/>
          <w:b/>
          <w:sz w:val="28"/>
          <w:szCs w:val="28"/>
        </w:rPr>
        <w:tab/>
      </w:r>
      <w:r w:rsidRPr="007F22CD">
        <w:rPr>
          <w:rFonts w:ascii="Times New Roman" w:hAnsi="Times New Roman"/>
          <w:b/>
          <w:sz w:val="28"/>
          <w:szCs w:val="28"/>
        </w:rPr>
        <w:tab/>
      </w:r>
      <w:r w:rsidRPr="007F22CD">
        <w:rPr>
          <w:rFonts w:ascii="Times New Roman" w:hAnsi="Times New Roman"/>
          <w:b/>
          <w:sz w:val="28"/>
          <w:szCs w:val="28"/>
        </w:rPr>
        <w:tab/>
      </w:r>
      <w:r w:rsidRPr="007F22CD">
        <w:rPr>
          <w:rFonts w:ascii="Times New Roman" w:hAnsi="Times New Roman"/>
          <w:b/>
          <w:sz w:val="28"/>
          <w:szCs w:val="28"/>
        </w:rPr>
        <w:tab/>
        <w:t>А. Муртазалиев</w:t>
      </w:r>
    </w:p>
    <w:p w:rsidR="00816A6B" w:rsidRPr="000F72B4" w:rsidRDefault="00816A6B" w:rsidP="00DD16E8">
      <w:pPr>
        <w:jc w:val="both"/>
        <w:rPr>
          <w:rFonts w:ascii="Times New Roman" w:hAnsi="Times New Roman"/>
          <w:sz w:val="28"/>
          <w:szCs w:val="28"/>
        </w:rPr>
      </w:pPr>
    </w:p>
    <w:p w:rsidR="00816A6B" w:rsidRPr="000F72B4" w:rsidRDefault="00816A6B" w:rsidP="00DD16E8">
      <w:pPr>
        <w:jc w:val="both"/>
        <w:rPr>
          <w:rFonts w:ascii="Times New Roman" w:hAnsi="Times New Roman"/>
          <w:sz w:val="28"/>
          <w:szCs w:val="28"/>
        </w:rPr>
      </w:pPr>
    </w:p>
    <w:p w:rsidR="00816A6B" w:rsidRPr="00816A6B" w:rsidRDefault="00816A6B" w:rsidP="00816A6B"/>
    <w:p w:rsidR="00816A6B" w:rsidRPr="00816A6B" w:rsidRDefault="00816A6B" w:rsidP="00816A6B"/>
    <w:p w:rsidR="00816A6B" w:rsidRDefault="00816A6B" w:rsidP="00816A6B"/>
    <w:sectPr w:rsidR="00816A6B" w:rsidSect="00AE671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Arial"/>
    <w:panose1 w:val="00000000000000000000"/>
    <w:charset w:val="00"/>
    <w:family w:val="auto"/>
    <w:pitch w:val="variable"/>
    <w:sig w:usb0="00000201" w:usb1="000000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17AA8"/>
    <w:multiLevelType w:val="hybridMultilevel"/>
    <w:tmpl w:val="857C7A60"/>
    <w:lvl w:ilvl="0" w:tplc="C65AE8B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7344027"/>
    <w:multiLevelType w:val="hybridMultilevel"/>
    <w:tmpl w:val="A78C5A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0762F39"/>
    <w:multiLevelType w:val="hybridMultilevel"/>
    <w:tmpl w:val="C4F225FA"/>
    <w:lvl w:ilvl="0" w:tplc="6902C9B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F7B"/>
    <w:rsid w:val="00083EC3"/>
    <w:rsid w:val="000A2A94"/>
    <w:rsid w:val="000F72B4"/>
    <w:rsid w:val="00124D11"/>
    <w:rsid w:val="001937B5"/>
    <w:rsid w:val="00252E37"/>
    <w:rsid w:val="00254388"/>
    <w:rsid w:val="00257EC7"/>
    <w:rsid w:val="00294E4B"/>
    <w:rsid w:val="002A5A66"/>
    <w:rsid w:val="00333C26"/>
    <w:rsid w:val="003C7679"/>
    <w:rsid w:val="003F6F30"/>
    <w:rsid w:val="00435856"/>
    <w:rsid w:val="00474D92"/>
    <w:rsid w:val="00505D64"/>
    <w:rsid w:val="005749F6"/>
    <w:rsid w:val="00604A00"/>
    <w:rsid w:val="00641F7B"/>
    <w:rsid w:val="006E130C"/>
    <w:rsid w:val="00705C8E"/>
    <w:rsid w:val="00770751"/>
    <w:rsid w:val="007F22CD"/>
    <w:rsid w:val="00815290"/>
    <w:rsid w:val="00816A6B"/>
    <w:rsid w:val="00850A8A"/>
    <w:rsid w:val="0086405F"/>
    <w:rsid w:val="008D4B0A"/>
    <w:rsid w:val="00983873"/>
    <w:rsid w:val="009B0CFB"/>
    <w:rsid w:val="009E3C47"/>
    <w:rsid w:val="009E6417"/>
    <w:rsid w:val="00A015A8"/>
    <w:rsid w:val="00A1033B"/>
    <w:rsid w:val="00A335DC"/>
    <w:rsid w:val="00A576E9"/>
    <w:rsid w:val="00A61D13"/>
    <w:rsid w:val="00AC4125"/>
    <w:rsid w:val="00AE6711"/>
    <w:rsid w:val="00B6410D"/>
    <w:rsid w:val="00B87641"/>
    <w:rsid w:val="00BB66FD"/>
    <w:rsid w:val="00BE6973"/>
    <w:rsid w:val="00BF09B5"/>
    <w:rsid w:val="00C4060A"/>
    <w:rsid w:val="00CE1E01"/>
    <w:rsid w:val="00CE737D"/>
    <w:rsid w:val="00CF4B2E"/>
    <w:rsid w:val="00D54186"/>
    <w:rsid w:val="00D702B7"/>
    <w:rsid w:val="00DA4A1F"/>
    <w:rsid w:val="00DD000C"/>
    <w:rsid w:val="00DD16E8"/>
    <w:rsid w:val="00DD3EAE"/>
    <w:rsid w:val="00ED05C1"/>
    <w:rsid w:val="00F41EC2"/>
    <w:rsid w:val="00F50557"/>
    <w:rsid w:val="00F969D5"/>
    <w:rsid w:val="00FE352D"/>
    <w:rsid w:val="00FF3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4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41F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1D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2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A2A9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640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6410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4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41F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1D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2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A2A9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640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6410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2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3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444755A8FE7295F5BDD346D9284AE533A81AC17FE8F321DB304EBED9C7611F31BC998B4AB0030Fm4p3L" TargetMode="External"/><Relationship Id="rId13" Type="http://schemas.openxmlformats.org/officeDocument/2006/relationships/hyperlink" Target="garantF1://10800200.389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2444755A8FE7295F5BDD346D9284AE533A11DC17FEEF321DB304EBED9C7611F31BC998B4AB00209m4p8L" TargetMode="External"/><Relationship Id="rId12" Type="http://schemas.openxmlformats.org/officeDocument/2006/relationships/hyperlink" Target="garantF1://10800200.391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10800200.389" TargetMode="External"/><Relationship Id="rId11" Type="http://schemas.openxmlformats.org/officeDocument/2006/relationships/hyperlink" Target="garantF1://10800200.395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garantF1://10800200.396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444755A8FE7295F5BDD346D9284AE533AE17C17DE1F321DB304EBED9C7611F31BC998B4AB00109m4p0L" TargetMode="External"/><Relationship Id="rId14" Type="http://schemas.openxmlformats.org/officeDocument/2006/relationships/hyperlink" Target="garantF1://10800200.39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Атай</cp:lastModifiedBy>
  <cp:revision>5</cp:revision>
  <cp:lastPrinted>2016-02-24T13:13:00Z</cp:lastPrinted>
  <dcterms:created xsi:type="dcterms:W3CDTF">2016-03-22T07:06:00Z</dcterms:created>
  <dcterms:modified xsi:type="dcterms:W3CDTF">2017-01-19T14:53:00Z</dcterms:modified>
</cp:coreProperties>
</file>