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7B" w:rsidRDefault="008B287B" w:rsidP="002F3353">
      <w:pPr>
        <w:pStyle w:val="2"/>
        <w:rPr>
          <w:i/>
          <w:iCs/>
          <w:w w:val="150"/>
          <w:sz w:val="24"/>
        </w:rPr>
      </w:pPr>
      <w:r>
        <w:rPr>
          <w:noProof/>
        </w:rPr>
        <w:drawing>
          <wp:inline distT="0" distB="0" distL="0" distR="0">
            <wp:extent cx="914400" cy="7359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87B" w:rsidRDefault="008B287B" w:rsidP="002F3353">
      <w:pPr>
        <w:pStyle w:val="1"/>
        <w:contextualSpacing/>
        <w:jc w:val="center"/>
        <w:rPr>
          <w:b/>
          <w:w w:val="150"/>
          <w:sz w:val="8"/>
          <w:szCs w:val="8"/>
        </w:rPr>
      </w:pPr>
      <w:r w:rsidRPr="00771E81">
        <w:rPr>
          <w:b/>
          <w:w w:val="150"/>
          <w:sz w:val="32"/>
          <w:szCs w:val="32"/>
        </w:rPr>
        <w:t>РЕСПУБЛИКА ДАГЕСТАН</w:t>
      </w:r>
    </w:p>
    <w:p w:rsidR="008B287B" w:rsidRDefault="008B287B" w:rsidP="002F3353">
      <w:pPr>
        <w:pStyle w:val="2"/>
        <w:contextualSpacing/>
        <w:rPr>
          <w:sz w:val="8"/>
          <w:szCs w:val="8"/>
        </w:rPr>
      </w:pPr>
    </w:p>
    <w:p w:rsidR="008B287B" w:rsidRDefault="008B287B" w:rsidP="002F3353">
      <w:pPr>
        <w:pStyle w:val="2"/>
        <w:contextualSpacing/>
        <w:rPr>
          <w:rFonts w:ascii="Times New Roman" w:hAnsi="Times New Roman"/>
          <w:sz w:val="8"/>
          <w:szCs w:val="8"/>
        </w:rPr>
      </w:pPr>
      <w:r w:rsidRPr="00771E81">
        <w:rPr>
          <w:rFonts w:ascii="Times New Roman" w:hAnsi="Times New Roman"/>
          <w:sz w:val="36"/>
        </w:rPr>
        <w:t>МУНИЦИПАЛЬНОЕ ОБРАЗОВАНИЕ «ДОКУЗПАРИНСКИЙ РАЙОН»</w:t>
      </w:r>
    </w:p>
    <w:p w:rsidR="008B287B" w:rsidRDefault="008B287B" w:rsidP="002F3353">
      <w:pPr>
        <w:pStyle w:val="2"/>
        <w:contextualSpacing/>
        <w:rPr>
          <w:rFonts w:ascii="Times New Roman" w:hAnsi="Times New Roman"/>
          <w:sz w:val="8"/>
          <w:szCs w:val="8"/>
        </w:rPr>
      </w:pPr>
    </w:p>
    <w:p w:rsidR="008B287B" w:rsidRDefault="008B287B" w:rsidP="002F3353">
      <w:pPr>
        <w:pStyle w:val="2"/>
        <w:contextualSpacing/>
        <w:rPr>
          <w:rFonts w:ascii="Times New Roman" w:hAnsi="Times New Roman"/>
          <w:b w:val="0"/>
          <w:i/>
          <w:iCs/>
          <w:sz w:val="18"/>
          <w:szCs w:val="18"/>
        </w:rPr>
      </w:pPr>
      <w:r w:rsidRPr="00771E81">
        <w:rPr>
          <w:rFonts w:ascii="Times New Roman" w:hAnsi="Times New Roman"/>
          <w:b w:val="0"/>
          <w:i/>
          <w:iCs/>
          <w:sz w:val="18"/>
          <w:szCs w:val="18"/>
        </w:rPr>
        <w:t>368750, сел. Усухчай Докузпаринского района РД</w:t>
      </w:r>
      <w:r>
        <w:rPr>
          <w:rFonts w:ascii="Times New Roman" w:hAnsi="Times New Roman"/>
          <w:b w:val="0"/>
          <w:i/>
          <w:iCs/>
          <w:sz w:val="18"/>
          <w:szCs w:val="18"/>
        </w:rPr>
        <w:tab/>
      </w:r>
      <w:r>
        <w:rPr>
          <w:rFonts w:ascii="Times New Roman" w:hAnsi="Times New Roman"/>
          <w:b w:val="0"/>
          <w:i/>
          <w:iCs/>
          <w:sz w:val="18"/>
          <w:szCs w:val="18"/>
        </w:rPr>
        <w:tab/>
        <w:t xml:space="preserve">                         </w:t>
      </w:r>
      <w:r w:rsidRPr="00771E81">
        <w:rPr>
          <w:rFonts w:ascii="Times New Roman" w:hAnsi="Times New Roman"/>
          <w:b w:val="0"/>
          <w:i/>
          <w:iCs/>
          <w:sz w:val="18"/>
          <w:szCs w:val="18"/>
        </w:rPr>
        <w:t xml:space="preserve"> тел.№ 22-340, факс (8-(87)-269)-22-337</w:t>
      </w:r>
      <w:r w:rsidRPr="00A91035">
        <w:rPr>
          <w:rFonts w:ascii="Times New Roman" w:hAnsi="Times New Roman"/>
          <w:b w:val="0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b w:val="0"/>
          <w:i/>
          <w:iCs/>
          <w:sz w:val="18"/>
          <w:szCs w:val="18"/>
        </w:rPr>
        <w:t xml:space="preserve">     </w:t>
      </w:r>
    </w:p>
    <w:p w:rsidR="008B287B" w:rsidRPr="002B6D09" w:rsidRDefault="008B287B" w:rsidP="002F3353">
      <w:pPr>
        <w:pStyle w:val="2"/>
        <w:contextualSpacing/>
        <w:jc w:val="right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i/>
          <w:iCs/>
          <w:sz w:val="18"/>
          <w:szCs w:val="18"/>
          <w:lang w:val="en-US"/>
        </w:rPr>
        <w:t>email</w:t>
      </w:r>
      <w:r w:rsidRPr="002B6D09">
        <w:rPr>
          <w:rFonts w:ascii="Times New Roman" w:hAnsi="Times New Roman"/>
          <w:b w:val="0"/>
          <w:i/>
          <w:iCs/>
          <w:sz w:val="18"/>
          <w:szCs w:val="18"/>
        </w:rPr>
        <w:t xml:space="preserve">: </w:t>
      </w:r>
      <w:r>
        <w:rPr>
          <w:rFonts w:ascii="Times New Roman" w:hAnsi="Times New Roman"/>
          <w:b w:val="0"/>
          <w:i/>
          <w:iCs/>
          <w:sz w:val="18"/>
          <w:szCs w:val="18"/>
          <w:lang w:val="en-US"/>
        </w:rPr>
        <w:t>dokuzpara</w:t>
      </w:r>
      <w:r w:rsidRPr="00A91035">
        <w:rPr>
          <w:rFonts w:ascii="Times New Roman" w:hAnsi="Times New Roman"/>
          <w:b w:val="0"/>
          <w:i/>
          <w:iCs/>
          <w:sz w:val="18"/>
          <w:szCs w:val="18"/>
        </w:rPr>
        <w:t>@</w:t>
      </w:r>
      <w:r>
        <w:rPr>
          <w:rFonts w:ascii="Times New Roman" w:hAnsi="Times New Roman"/>
          <w:b w:val="0"/>
          <w:i/>
          <w:iCs/>
          <w:sz w:val="18"/>
          <w:szCs w:val="18"/>
          <w:lang w:val="en-US"/>
        </w:rPr>
        <w:t>mail</w:t>
      </w:r>
      <w:r w:rsidRPr="00A91035">
        <w:rPr>
          <w:rFonts w:ascii="Times New Roman" w:hAnsi="Times New Roman"/>
          <w:b w:val="0"/>
          <w:i/>
          <w:iCs/>
          <w:sz w:val="18"/>
          <w:szCs w:val="18"/>
        </w:rPr>
        <w:t>.</w:t>
      </w:r>
      <w:r>
        <w:rPr>
          <w:rFonts w:ascii="Times New Roman" w:hAnsi="Times New Roman"/>
          <w:b w:val="0"/>
          <w:i/>
          <w:iCs/>
          <w:sz w:val="18"/>
          <w:szCs w:val="18"/>
          <w:lang w:val="en-US"/>
        </w:rPr>
        <w:t>ru</w:t>
      </w:r>
      <w:r w:rsidRPr="002B6D09">
        <w:rPr>
          <w:rFonts w:ascii="Times New Roman" w:hAnsi="Times New Roman"/>
          <w:b w:val="0"/>
          <w:i/>
          <w:iCs/>
          <w:sz w:val="18"/>
          <w:szCs w:val="18"/>
        </w:rPr>
        <w:tab/>
      </w:r>
    </w:p>
    <w:p w:rsidR="008B287B" w:rsidRDefault="00BA7516" w:rsidP="002F3353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75565</wp:posOffset>
                </wp:positionV>
                <wp:extent cx="5976620" cy="0"/>
                <wp:effectExtent l="30480" t="32385" r="31750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95pt" to="471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" strokeweight="4.5pt">
                <v:stroke linestyle="thinThick"/>
              </v:line>
            </w:pict>
          </mc:Fallback>
        </mc:AlternateContent>
      </w:r>
    </w:p>
    <w:p w:rsidR="008B287B" w:rsidRPr="008B287B" w:rsidRDefault="008B287B" w:rsidP="008B287B">
      <w:pPr>
        <w:pStyle w:val="1"/>
        <w:jc w:val="right"/>
        <w:rPr>
          <w:b/>
        </w:rPr>
      </w:pPr>
      <w:bookmarkStart w:id="0" w:name="_GoBack"/>
      <w:bookmarkEnd w:id="0"/>
      <w:r w:rsidRPr="008B287B">
        <w:rPr>
          <w:b/>
        </w:rPr>
        <w:t>Приложение к Решению</w:t>
      </w:r>
    </w:p>
    <w:p w:rsidR="008B287B" w:rsidRPr="008B287B" w:rsidRDefault="008B287B" w:rsidP="008B287B">
      <w:pPr>
        <w:pStyle w:val="1"/>
        <w:jc w:val="right"/>
        <w:rPr>
          <w:b/>
        </w:rPr>
      </w:pPr>
      <w:r w:rsidRPr="008B287B">
        <w:rPr>
          <w:b/>
        </w:rPr>
        <w:t>Районного Собрания</w:t>
      </w:r>
    </w:p>
    <w:p w:rsidR="002F170B" w:rsidRPr="002F170B" w:rsidRDefault="002F170B" w:rsidP="002F170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170B">
        <w:rPr>
          <w:rFonts w:ascii="Times New Roman" w:hAnsi="Times New Roman" w:cs="Times New Roman"/>
          <w:sz w:val="28"/>
          <w:szCs w:val="28"/>
        </w:rPr>
        <w:t xml:space="preserve">№ </w:t>
      </w:r>
      <w:r w:rsidRPr="002F170B">
        <w:rPr>
          <w:rFonts w:ascii="Times New Roman" w:hAnsi="Times New Roman" w:cs="Times New Roman"/>
          <w:sz w:val="28"/>
          <w:szCs w:val="28"/>
          <w:u w:val="single"/>
        </w:rPr>
        <w:t>10-1</w:t>
      </w:r>
      <w:r w:rsidRPr="002F170B">
        <w:rPr>
          <w:rFonts w:ascii="Times New Roman" w:hAnsi="Times New Roman" w:cs="Times New Roman"/>
          <w:sz w:val="28"/>
          <w:szCs w:val="28"/>
        </w:rPr>
        <w:t xml:space="preserve"> от </w:t>
      </w:r>
      <w:r w:rsidRPr="002F170B">
        <w:rPr>
          <w:rFonts w:ascii="Times New Roman" w:hAnsi="Times New Roman" w:cs="Times New Roman"/>
          <w:sz w:val="28"/>
          <w:szCs w:val="28"/>
          <w:u w:val="single"/>
        </w:rPr>
        <w:t>30.12.2016г.</w:t>
      </w:r>
    </w:p>
    <w:p w:rsidR="008B287B" w:rsidRPr="008B287B" w:rsidRDefault="008B287B" w:rsidP="008B287B">
      <w:pPr>
        <w:jc w:val="center"/>
        <w:rPr>
          <w:b/>
        </w:rPr>
      </w:pPr>
    </w:p>
    <w:p w:rsidR="008B287B" w:rsidRPr="00226429" w:rsidRDefault="008B287B" w:rsidP="008B287B">
      <w:pPr>
        <w:jc w:val="center"/>
      </w:pPr>
    </w:p>
    <w:p w:rsidR="008B287B" w:rsidRDefault="00226429" w:rsidP="004261BE">
      <w:pPr>
        <w:pStyle w:val="1"/>
        <w:jc w:val="center"/>
        <w:rPr>
          <w:b/>
        </w:rPr>
      </w:pPr>
      <w:r>
        <w:rPr>
          <w:b/>
          <w:lang w:val="en-US"/>
        </w:rPr>
        <w:t>I</w:t>
      </w:r>
      <w:r w:rsidR="008B287B" w:rsidRPr="008B287B">
        <w:rPr>
          <w:b/>
        </w:rPr>
        <w:t xml:space="preserve"> зона</w:t>
      </w:r>
    </w:p>
    <w:p w:rsidR="008B287B" w:rsidRDefault="008B287B" w:rsidP="004261BE">
      <w:pPr>
        <w:pStyle w:val="1"/>
        <w:jc w:val="both"/>
      </w:pPr>
      <w:r>
        <w:tab/>
        <w:t>Объекты стационарной торговой сети , имеющие торговые залы в районном центре  с.Усухчай -составляет 2040 на один квадратный метр за год.</w:t>
      </w:r>
    </w:p>
    <w:p w:rsidR="008B287B" w:rsidRDefault="008B287B" w:rsidP="008B287B">
      <w:pPr>
        <w:jc w:val="center"/>
      </w:pPr>
    </w:p>
    <w:p w:rsidR="008B287B" w:rsidRPr="008B287B" w:rsidRDefault="00226429" w:rsidP="008B287B">
      <w:pPr>
        <w:pStyle w:val="1"/>
        <w:jc w:val="center"/>
        <w:rPr>
          <w:b/>
        </w:rPr>
      </w:pPr>
      <w:r>
        <w:rPr>
          <w:b/>
          <w:lang w:val="en-US"/>
        </w:rPr>
        <w:t>III</w:t>
      </w:r>
      <w:r w:rsidR="008B287B" w:rsidRPr="008B287B">
        <w:rPr>
          <w:b/>
        </w:rPr>
        <w:t xml:space="preserve"> зона</w:t>
      </w:r>
    </w:p>
    <w:p w:rsidR="008B287B" w:rsidRDefault="008B287B" w:rsidP="008B287B">
      <w:pPr>
        <w:pStyle w:val="1"/>
        <w:jc w:val="both"/>
      </w:pPr>
      <w:r>
        <w:tab/>
        <w:t>Объекты стационарной торговой сети, находящиеся в сельских поселениях:  с.Ново-Каракюре,  с.Мискинджа,  с.Авадан и  с.Каладжух, сумма единого налога составляет- 1752 рублей на один квадратный метр площади за год.</w:t>
      </w:r>
    </w:p>
    <w:p w:rsidR="008B287B" w:rsidRDefault="008B287B" w:rsidP="008B287B"/>
    <w:p w:rsidR="008B287B" w:rsidRDefault="008B287B" w:rsidP="008B287B"/>
    <w:p w:rsidR="008B287B" w:rsidRPr="008B287B" w:rsidRDefault="008B287B" w:rsidP="008B287B"/>
    <w:p w:rsidR="008B287B" w:rsidRPr="008B287B" w:rsidRDefault="008B287B" w:rsidP="008B287B">
      <w:pPr>
        <w:pStyle w:val="1"/>
        <w:rPr>
          <w:b/>
        </w:rPr>
      </w:pPr>
      <w:r w:rsidRPr="008B287B">
        <w:rPr>
          <w:b/>
        </w:rPr>
        <w:t>Председатель районного Собрания                                            А.И.Ахмедов</w:t>
      </w:r>
    </w:p>
    <w:sectPr w:rsidR="008B287B" w:rsidRPr="008B287B" w:rsidSect="002C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7B"/>
    <w:rsid w:val="000B77E9"/>
    <w:rsid w:val="00226429"/>
    <w:rsid w:val="002C289D"/>
    <w:rsid w:val="002F170B"/>
    <w:rsid w:val="004261BE"/>
    <w:rsid w:val="008B287B"/>
    <w:rsid w:val="00BA7516"/>
    <w:rsid w:val="00D47C7B"/>
    <w:rsid w:val="00E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28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8B287B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8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B287B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28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8B287B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8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B287B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Даудов Атлыгиши Даудович</cp:lastModifiedBy>
  <cp:revision>2</cp:revision>
  <dcterms:created xsi:type="dcterms:W3CDTF">2017-02-20T13:00:00Z</dcterms:created>
  <dcterms:modified xsi:type="dcterms:W3CDTF">2017-02-20T13:00:00Z</dcterms:modified>
</cp:coreProperties>
</file>