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03" w:rsidRPr="00A01998" w:rsidRDefault="00401103" w:rsidP="00401103">
      <w:pPr>
        <w:ind w:firstLine="180"/>
        <w:jc w:val="center"/>
        <w:rPr>
          <w:color w:val="000050"/>
          <w:sz w:val="28"/>
          <w:szCs w:val="28"/>
        </w:rPr>
      </w:pPr>
      <w:bookmarkStart w:id="0" w:name="_GoBack"/>
      <w:bookmarkEnd w:id="0"/>
      <w:r w:rsidRPr="00A01998">
        <w:rPr>
          <w:color w:val="000050"/>
          <w:sz w:val="28"/>
          <w:szCs w:val="28"/>
        </w:rPr>
        <w:t xml:space="preserve">ЗНАЧЕНИЯ  КОРРЕКТИРУЮЩЕГО КОЭФФИЦИЕНТА БАЗОВОЙ ДОХОДНОСТИ </w:t>
      </w:r>
      <w:r w:rsidRPr="00A01998">
        <w:rPr>
          <w:color w:val="000000"/>
          <w:sz w:val="28"/>
          <w:szCs w:val="28"/>
        </w:rPr>
        <w:t>К</w:t>
      </w:r>
      <w:proofErr w:type="gramStart"/>
      <w:r w:rsidRPr="00A01998">
        <w:rPr>
          <w:color w:val="000000"/>
          <w:sz w:val="28"/>
          <w:szCs w:val="28"/>
          <w:vertAlign w:val="subscript"/>
        </w:rPr>
        <w:t>2</w:t>
      </w:r>
      <w:proofErr w:type="gramEnd"/>
    </w:p>
    <w:p w:rsidR="00401103" w:rsidRPr="00FE5236" w:rsidRDefault="00401103" w:rsidP="00401103">
      <w:pPr>
        <w:rPr>
          <w:sz w:val="22"/>
          <w:szCs w:val="22"/>
        </w:rPr>
      </w:pPr>
    </w:p>
    <w:tbl>
      <w:tblPr>
        <w:tblW w:w="149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70"/>
        <w:gridCol w:w="2976"/>
        <w:gridCol w:w="1390"/>
        <w:gridCol w:w="1211"/>
        <w:gridCol w:w="995"/>
      </w:tblGrid>
      <w:tr w:rsidR="00755908" w:rsidRPr="0073510C" w:rsidTr="00D84536">
        <w:trPr>
          <w:trHeight w:val="1253"/>
        </w:trPr>
        <w:tc>
          <w:tcPr>
            <w:tcW w:w="909" w:type="dxa"/>
            <w:vMerge w:val="restart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bookmarkStart w:id="1" w:name="RANGE!A1:F84"/>
            <w:r w:rsidRPr="0073510C">
              <w:t>№</w:t>
            </w:r>
          </w:p>
          <w:bookmarkEnd w:id="1"/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  <w:tc>
          <w:tcPr>
            <w:tcW w:w="7470" w:type="dxa"/>
            <w:vMerge w:val="restart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Виды предпринимательской деятельности</w:t>
            </w:r>
          </w:p>
          <w:p w:rsidR="00755908" w:rsidRPr="0073510C" w:rsidRDefault="00755908" w:rsidP="0073510C">
            <w:pPr>
              <w:jc w:val="center"/>
            </w:pPr>
            <w:r w:rsidRPr="0073510C"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Физические показатели</w:t>
            </w:r>
          </w:p>
          <w:p w:rsidR="00755908" w:rsidRPr="0073510C" w:rsidRDefault="00755908" w:rsidP="0073510C">
            <w:pPr>
              <w:jc w:val="center"/>
            </w:pPr>
            <w:r w:rsidRPr="0073510C">
              <w:t> </w:t>
            </w:r>
          </w:p>
        </w:tc>
        <w:tc>
          <w:tcPr>
            <w:tcW w:w="1390" w:type="dxa"/>
            <w:vMerge w:val="restart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Базовая доходность в месяц (рублей)</w:t>
            </w:r>
          </w:p>
          <w:p w:rsidR="00755908" w:rsidRPr="0073510C" w:rsidRDefault="00755908" w:rsidP="0073510C">
            <w:pPr>
              <w:jc w:val="center"/>
            </w:pPr>
            <w:r w:rsidRPr="0073510C">
              <w:t> </w:t>
            </w:r>
          </w:p>
        </w:tc>
        <w:tc>
          <w:tcPr>
            <w:tcW w:w="2206" w:type="dxa"/>
            <w:gridSpan w:val="2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Значение  корре</w:t>
            </w:r>
            <w:r w:rsidRPr="0073510C">
              <w:t>к</w:t>
            </w:r>
            <w:r w:rsidRPr="0073510C">
              <w:t>тирующего коэ</w:t>
            </w:r>
            <w:r w:rsidRPr="0073510C">
              <w:t>ф</w:t>
            </w:r>
            <w:r w:rsidRPr="0073510C">
              <w:t>фициента базовой доходности  К</w:t>
            </w:r>
            <w:proofErr w:type="gramStart"/>
            <w:r w:rsidRPr="0073510C">
              <w:t>2</w:t>
            </w:r>
            <w:proofErr w:type="gramEnd"/>
          </w:p>
        </w:tc>
      </w:tr>
      <w:tr w:rsidR="00755908" w:rsidRPr="0073510C" w:rsidTr="00D84536">
        <w:trPr>
          <w:trHeight w:val="270"/>
        </w:trPr>
        <w:tc>
          <w:tcPr>
            <w:tcW w:w="909" w:type="dxa"/>
            <w:vMerge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</w:p>
        </w:tc>
        <w:tc>
          <w:tcPr>
            <w:tcW w:w="7470" w:type="dxa"/>
            <w:vMerge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</w:p>
        </w:tc>
        <w:tc>
          <w:tcPr>
            <w:tcW w:w="2976" w:type="dxa"/>
            <w:vMerge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зона I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зона II</w:t>
            </w:r>
          </w:p>
        </w:tc>
      </w:tr>
      <w:tr w:rsidR="00755908" w:rsidRPr="0073510C" w:rsidTr="00D84536">
        <w:trPr>
          <w:trHeight w:val="60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55908" w:rsidRDefault="00755908" w:rsidP="00755908">
            <w:r w:rsidRPr="00755908">
              <w:t>Оказание бытовых услуг физическим лицам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  <w:rPr>
                <w:sz w:val="22"/>
                <w:szCs w:val="22"/>
              </w:rPr>
            </w:pPr>
            <w:r w:rsidRPr="0073510C">
              <w:rPr>
                <w:sz w:val="22"/>
                <w:szCs w:val="22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7500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0,35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2.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55908">
            <w:r w:rsidRPr="0073510C">
              <w:t>Оказание ветеринарных услуг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7500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0,35</w:t>
            </w:r>
          </w:p>
        </w:tc>
      </w:tr>
      <w:tr w:rsidR="00755908" w:rsidRPr="0073510C" w:rsidTr="00D84536">
        <w:trPr>
          <w:trHeight w:val="63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 xml:space="preserve">3.  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55908">
            <w:r w:rsidRPr="0073510C">
              <w:t>Оказание услуг по ремонту, техническому обслуживанию и мойке а</w:t>
            </w:r>
            <w:r w:rsidRPr="0073510C">
              <w:t>в</w:t>
            </w:r>
            <w:r w:rsidRPr="0073510C">
              <w:t>тотранспортных средств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12000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0,35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4.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55908">
            <w:r w:rsidRPr="0073510C">
              <w:t>Оказание услуг по хранению автотранспортных средств на платных стоянках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Площадь  стоянки (в кв</w:t>
            </w:r>
            <w:proofErr w:type="gramStart"/>
            <w:r w:rsidRPr="0073510C">
              <w:t>.м</w:t>
            </w:r>
            <w:proofErr w:type="gramEnd"/>
            <w:r w:rsidRPr="0073510C">
              <w:t>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50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0,35</w:t>
            </w:r>
          </w:p>
        </w:tc>
      </w:tr>
      <w:tr w:rsidR="00755908" w:rsidRPr="0073510C" w:rsidTr="00D84536">
        <w:trPr>
          <w:trHeight w:val="96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5.</w:t>
            </w:r>
          </w:p>
        </w:tc>
        <w:tc>
          <w:tcPr>
            <w:tcW w:w="7470" w:type="dxa"/>
            <w:shd w:val="clear" w:color="auto" w:fill="auto"/>
            <w:noWrap/>
            <w:hideMark/>
          </w:tcPr>
          <w:p w:rsidR="00755908" w:rsidRPr="0073510C" w:rsidRDefault="00755908" w:rsidP="00755908">
            <w:r w:rsidRPr="0073510C">
              <w:t>Оказание автотранспортных услуг по перевозке грузов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Количество автомобилей, используемых для пер</w:t>
            </w:r>
            <w:r w:rsidRPr="0073510C">
              <w:t>е</w:t>
            </w:r>
            <w:r w:rsidRPr="0073510C">
              <w:t>возки - пассажиров и гр</w:t>
            </w:r>
            <w:r w:rsidRPr="0073510C">
              <w:t>у</w:t>
            </w:r>
            <w:r w:rsidRPr="0073510C">
              <w:t>зов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5.1.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55908">
            <w:r w:rsidRPr="0073510C">
              <w:t>транспортным средством грузоподъемностью до 6-ти тонн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55908" w:rsidRDefault="00755908" w:rsidP="00755908">
            <w:pPr>
              <w:jc w:val="right"/>
            </w:pPr>
            <w:r>
              <w:rPr>
                <w:lang w:val="en-US"/>
              </w:rPr>
              <w:t>0</w:t>
            </w:r>
            <w:r>
              <w:t>,5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5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5.3.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транспортным средством грузоподъемностью от 6-ти до 10-ти тонн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55908" w:rsidRDefault="00755908" w:rsidP="004854E6">
            <w:pPr>
              <w:jc w:val="right"/>
            </w:pPr>
            <w:r>
              <w:rPr>
                <w:lang w:val="en-US"/>
              </w:rPr>
              <w:t>0</w:t>
            </w:r>
            <w:r>
              <w:t>,7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7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5.4.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транспортным средством грузоподъемностью свыше 10 тонн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>
              <w:t>0,9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 xml:space="preserve">5.5.  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специальным автотранспортным средством (прицеп, полуприцеп)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0,9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</w:t>
            </w:r>
          </w:p>
        </w:tc>
        <w:tc>
          <w:tcPr>
            <w:tcW w:w="7470" w:type="dxa"/>
            <w:shd w:val="clear" w:color="auto" w:fill="auto"/>
            <w:noWrap/>
            <w:vAlign w:val="bottom"/>
            <w:hideMark/>
          </w:tcPr>
          <w:p w:rsidR="00755908" w:rsidRPr="0073510C" w:rsidRDefault="00755908" w:rsidP="0073510C">
            <w:r w:rsidRPr="0073510C">
              <w:t>Оказание автотранспортных услуг по перевозке пассажиров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6.1.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автобусами: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 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а)</w:t>
            </w:r>
            <w:r w:rsidRPr="0073510C">
              <w:t> 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особо малого класса (с габаритной длиной до 5,5 м):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6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6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 xml:space="preserve">б) 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малого класса (с габаритной длиной 6,0-7,5 м)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0,7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0,7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 xml:space="preserve">в) 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среднего класса</w:t>
            </w:r>
            <w:r>
              <w:t xml:space="preserve"> </w:t>
            </w:r>
            <w:r w:rsidRPr="0073510C">
              <w:t>(с габаритной длиной 8,5-10 м)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0,8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0,8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 xml:space="preserve">г) 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большого класса (с габаритной длиной 11-12 м)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0,9</w:t>
            </w:r>
          </w:p>
        </w:tc>
      </w:tr>
      <w:tr w:rsidR="00755908" w:rsidRPr="0073510C" w:rsidTr="00D84536">
        <w:trPr>
          <w:trHeight w:val="63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 xml:space="preserve">д) 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особо большого класса - сочлененные (с габаритной длиной 16,5-24 м, двухзвенные - до 18 м)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1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1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6.2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легковыми автомобилями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 xml:space="preserve">- " - 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5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5</w:t>
            </w:r>
          </w:p>
        </w:tc>
      </w:tr>
      <w:tr w:rsidR="00755908" w:rsidRPr="0073510C" w:rsidTr="00D84536">
        <w:trPr>
          <w:trHeight w:val="63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7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Площадь  торгового - зала (в кв</w:t>
            </w:r>
            <w:proofErr w:type="gramStart"/>
            <w:r w:rsidRPr="0073510C">
              <w:t>.м</w:t>
            </w:r>
            <w:proofErr w:type="gramEnd"/>
            <w:r w:rsidRPr="0073510C">
              <w:t>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1800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94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lastRenderedPageBreak/>
              <w:t>8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Розничная торговля, осуществляемая в объектах стационарной   то</w:t>
            </w:r>
            <w:r w:rsidRPr="0073510C">
              <w:t>р</w:t>
            </w:r>
            <w:r w:rsidRPr="0073510C">
              <w:t>говой сети, а также в объектах нестационарной торговой сети, пл</w:t>
            </w:r>
            <w:r w:rsidRPr="0073510C">
              <w:t>о</w:t>
            </w:r>
            <w:r w:rsidRPr="0073510C">
              <w:t>щадь торгового места в которых  не превышает 5 м</w:t>
            </w:r>
            <w:proofErr w:type="gramStart"/>
            <w:r w:rsidRPr="0073510C">
              <w:t>2</w:t>
            </w:r>
            <w:proofErr w:type="gramEnd"/>
            <w:r w:rsidRPr="0073510C">
              <w:t xml:space="preserve">        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Торговое место (ед.)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9000 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748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9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Розничная торговля, осуществляемая в объектах стационарной торг</w:t>
            </w:r>
            <w:r w:rsidRPr="0073510C">
              <w:t>о</w:t>
            </w:r>
            <w:r w:rsidRPr="0073510C">
              <w:t>вой сети, а также в объектах нестационарной торговой сети, площадь торгового места в которых превышает 5 м</w:t>
            </w:r>
            <w:proofErr w:type="gramStart"/>
            <w:r w:rsidRPr="0073510C">
              <w:t>2</w:t>
            </w:r>
            <w:proofErr w:type="gramEnd"/>
            <w:r w:rsidRPr="0073510C">
              <w:t xml:space="preserve">   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Площадь торгового места кв.м.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1 800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126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10</w:t>
            </w:r>
          </w:p>
        </w:tc>
        <w:tc>
          <w:tcPr>
            <w:tcW w:w="7470" w:type="dxa"/>
            <w:shd w:val="clear" w:color="auto" w:fill="auto"/>
            <w:vAlign w:val="bottom"/>
            <w:hideMark/>
          </w:tcPr>
          <w:p w:rsidR="00755908" w:rsidRPr="0073510C" w:rsidRDefault="00755908" w:rsidP="0073510C">
            <w:r w:rsidRPr="0073510C">
              <w:t>Развозная  (разносная) торговля (за  исключением торговли подакци</w:t>
            </w:r>
            <w:r w:rsidRPr="0073510C">
              <w:t>з</w:t>
            </w:r>
            <w:r w:rsidRPr="0073510C">
              <w:t>ными товарами, лекарственными препаратами, изделиями из драг</w:t>
            </w:r>
            <w:r w:rsidRPr="0073510C">
              <w:t>о</w:t>
            </w:r>
            <w:r w:rsidRPr="0073510C">
              <w:t>ценных камней, оружием и патронами к нему, меховыми изделиями  и  технически сложными товарами бытового обслуживания)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Количество работников, включая индивидуального предпринимателя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4500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9</w:t>
            </w:r>
          </w:p>
        </w:tc>
      </w:tr>
      <w:tr w:rsidR="00755908" w:rsidRPr="0073510C" w:rsidTr="00D84536">
        <w:trPr>
          <w:trHeight w:val="638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t>11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Количество торговых а</w:t>
            </w:r>
            <w:r>
              <w:t>в</w:t>
            </w:r>
            <w:r>
              <w:t>томатов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  <w:jc w:val="center"/>
            </w:pPr>
            <w:r>
              <w:t>4 500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94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1</w:t>
            </w:r>
            <w:r>
              <w:t>2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Оказание услуг общественного питания через объекты организации общественного питания,  имеющие залы обслуживания посетителей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Площадь зала обслужив</w:t>
            </w:r>
            <w:r w:rsidRPr="0073510C">
              <w:t>а</w:t>
            </w:r>
            <w:r w:rsidRPr="0073510C">
              <w:t>ния посетителей (откр</w:t>
            </w:r>
            <w:r w:rsidRPr="0073510C">
              <w:t>ы</w:t>
            </w:r>
            <w:r w:rsidRPr="0073510C">
              <w:t>той площадки) (в кв.м.)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1</w:t>
            </w:r>
            <w:r>
              <w:t>2</w:t>
            </w:r>
            <w:r w:rsidRPr="0073510C">
              <w:t>.1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 xml:space="preserve">Услуги питания ресторана 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- " -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1000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7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5</w:t>
            </w:r>
            <w:r w:rsidRPr="0073510C">
              <w:t>0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1</w:t>
            </w:r>
            <w:r>
              <w:t>2</w:t>
            </w:r>
            <w:r w:rsidRPr="0073510C">
              <w:t>.2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Услуги питания кафе, столовой, закусочной и предприятий других типов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- " -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6</w:t>
            </w:r>
            <w:r w:rsidRPr="0073510C">
              <w:t>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5</w:t>
            </w:r>
            <w:r w:rsidRPr="0073510C">
              <w:t>0</w:t>
            </w:r>
          </w:p>
        </w:tc>
      </w:tr>
      <w:tr w:rsidR="00755908" w:rsidRPr="0073510C" w:rsidTr="00D84536">
        <w:trPr>
          <w:trHeight w:val="31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1</w:t>
            </w:r>
            <w:r>
              <w:t>2</w:t>
            </w:r>
            <w:r w:rsidRPr="0073510C">
              <w:t>.3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Услуги питания бара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- " -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63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1</w:t>
            </w:r>
            <w:r>
              <w:t>3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Pr="0073510C" w:rsidRDefault="00755908" w:rsidP="0073510C">
            <w:r w:rsidRPr="0073510C">
              <w:t>Оказание услуг общественного  питания  через объекты организации общественного питания, не имеющие залов обслуживания посетит</w:t>
            </w:r>
            <w:r w:rsidRPr="0073510C">
              <w:t>е</w:t>
            </w:r>
            <w:r w:rsidRPr="0073510C">
              <w:t>лей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Pr="0073510C" w:rsidRDefault="00755908" w:rsidP="0073510C">
            <w:pPr>
              <w:jc w:val="center"/>
            </w:pPr>
            <w:r w:rsidRPr="0073510C">
              <w:t>Количество работников, включая индивидуального предпринимателя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4500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1076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13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</w:t>
            </w:r>
            <w:r>
              <w:t>е</w:t>
            </w:r>
            <w:r>
              <w:t>ской сменой изображения и электронных табло)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Площадь, предназначе</w:t>
            </w:r>
            <w:r>
              <w:t>н</w:t>
            </w:r>
            <w:r>
              <w:t>ная для нанесения изо</w:t>
            </w:r>
            <w:r>
              <w:t>б</w:t>
            </w:r>
            <w:r>
              <w:t>ражения (в квадратных метрах)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3000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9</w:t>
            </w:r>
          </w:p>
        </w:tc>
      </w:tr>
      <w:tr w:rsidR="00755908" w:rsidRPr="0073510C" w:rsidTr="00D84536">
        <w:trPr>
          <w:trHeight w:val="63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14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Площадь экспонирующей поверхности (в квадра</w:t>
            </w:r>
            <w:r>
              <w:t>т</w:t>
            </w:r>
            <w:r>
              <w:t>ных метрах)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4000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</w:tr>
      <w:tr w:rsidR="00755908" w:rsidRPr="0073510C" w:rsidTr="00D84536">
        <w:trPr>
          <w:trHeight w:val="94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15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Площадь светоизлуча</w:t>
            </w:r>
            <w:r>
              <w:t>ю</w:t>
            </w:r>
            <w:r>
              <w:t>щей поверхности (в ква</w:t>
            </w:r>
            <w:r>
              <w:t>д</w:t>
            </w:r>
            <w:r>
              <w:t>ратных метрах)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5000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</w:tr>
      <w:tr w:rsidR="00755908" w:rsidRPr="0073510C" w:rsidTr="00D84536">
        <w:trPr>
          <w:trHeight w:val="692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16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Размещение рекламы с использованием внешних и внутренних п</w:t>
            </w:r>
            <w:r>
              <w:t>о</w:t>
            </w:r>
            <w:r>
              <w:t>верхностей транспортных средств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 xml:space="preserve">Количество транспортных средств, используемых </w:t>
            </w:r>
            <w:r>
              <w:lastRenderedPageBreak/>
              <w:t>для размещения рекламы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lastRenderedPageBreak/>
              <w:t>10000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</w:tr>
      <w:tr w:rsidR="00755908" w:rsidRPr="0073510C" w:rsidTr="00D84536">
        <w:trPr>
          <w:trHeight w:val="67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lastRenderedPageBreak/>
              <w:t>17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Оказание услуг по временному размещению и проживанию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Общая площадь помещ</w:t>
            </w:r>
            <w:r>
              <w:t>е</w:t>
            </w:r>
            <w:r>
              <w:t>ния для временного ра</w:t>
            </w:r>
            <w:r>
              <w:t>з</w:t>
            </w:r>
            <w:r>
              <w:t>мещения и проживания (в квадратных метрах)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4854E6">
            <w:pPr>
              <w:jc w:val="right"/>
            </w:pPr>
            <w:r w:rsidRPr="0073510C">
              <w:t>0,</w:t>
            </w:r>
            <w:r>
              <w:t>9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55908">
            <w:pPr>
              <w:jc w:val="right"/>
            </w:pPr>
            <w:r w:rsidRPr="0073510C">
              <w:t>0,</w:t>
            </w:r>
            <w:r>
              <w:t>7</w:t>
            </w:r>
          </w:p>
        </w:tc>
      </w:tr>
      <w:tr w:rsidR="00755908" w:rsidRPr="0073510C" w:rsidTr="00D84536">
        <w:trPr>
          <w:trHeight w:val="2241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18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Оказание услуг по передаче во временное владение и (или) в польз</w:t>
            </w:r>
            <w:r>
              <w:t>о</w:t>
            </w:r>
            <w:r>
              <w:t>вание торговых мест, расположенных в объектах стационарной то</w:t>
            </w:r>
            <w:r>
              <w:t>р</w:t>
            </w:r>
            <w:r>
              <w:t>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Количество переданных во временное владение и (или) в пользование то</w:t>
            </w:r>
            <w:r>
              <w:t>р</w:t>
            </w:r>
            <w:r>
              <w:t>говых мест, объектов н</w:t>
            </w:r>
            <w:r>
              <w:t>е</w:t>
            </w:r>
            <w:r>
              <w:t>стационарной торговой сети, объектов организ</w:t>
            </w:r>
            <w:r>
              <w:t>а</w:t>
            </w:r>
            <w:r>
              <w:t>ции общественного пит</w:t>
            </w:r>
            <w:r>
              <w:t>а</w:t>
            </w:r>
            <w:r>
              <w:t>ния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6000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2245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19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Оказание услуг по передаче во временное владение и (или) в польз</w:t>
            </w:r>
            <w:r>
              <w:t>о</w:t>
            </w:r>
            <w:r>
              <w:t>вание торговых мест, расположенных в объектах стационарной то</w:t>
            </w:r>
            <w:r>
              <w:t>р</w:t>
            </w:r>
            <w:r>
              <w:t>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Площадь переданного во временное владение и (или) в пользование то</w:t>
            </w:r>
            <w:r>
              <w:t>р</w:t>
            </w:r>
            <w:r>
              <w:t>гового места, объекта н</w:t>
            </w:r>
            <w:r>
              <w:t>е</w:t>
            </w:r>
            <w:r>
              <w:t>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1 200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127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20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Оказание услуг по передаче во временное владение и (или) в польз</w:t>
            </w:r>
            <w:r>
              <w:t>о</w:t>
            </w:r>
            <w:r>
              <w:t>вание земельных участков для размещения объектов стационарной и нестационарной торговой сети, а также объектов организации общ</w:t>
            </w:r>
            <w:r>
              <w:t>е</w:t>
            </w:r>
            <w:r>
              <w:t>ственного питания, если площадь земельного участка не превышает 10 квадратных метров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Количество переданных во временное владение и (или) в пользование з</w:t>
            </w:r>
            <w:r>
              <w:t>е</w:t>
            </w:r>
            <w:r>
              <w:t>мельных участков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>
              <w:rPr>
                <w:lang w:val="en-US"/>
              </w:rPr>
              <w:t>10</w:t>
            </w:r>
            <w:r w:rsidRPr="0073510C">
              <w:t xml:space="preserve"> 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  <w:tr w:rsidR="00755908" w:rsidRPr="0073510C" w:rsidTr="00D84536">
        <w:trPr>
          <w:trHeight w:val="1890"/>
        </w:trPr>
        <w:tc>
          <w:tcPr>
            <w:tcW w:w="909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21</w:t>
            </w:r>
          </w:p>
        </w:tc>
        <w:tc>
          <w:tcPr>
            <w:tcW w:w="7470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Оказание услуг по передаче во временное владение и (или) в польз</w:t>
            </w:r>
            <w:r>
              <w:t>о</w:t>
            </w:r>
            <w:r>
              <w:t>вание земельных участков для размещения объектов стационарной и нестационарной торговой сети, а также объектов организации общ</w:t>
            </w:r>
            <w:r>
              <w:t>е</w:t>
            </w:r>
            <w:r>
              <w:t>ственного питания, если площадь земельного участка превышает 10 квадратных метров</w:t>
            </w:r>
          </w:p>
        </w:tc>
        <w:tc>
          <w:tcPr>
            <w:tcW w:w="2976" w:type="dxa"/>
            <w:shd w:val="clear" w:color="auto" w:fill="auto"/>
            <w:hideMark/>
          </w:tcPr>
          <w:p w:rsidR="00755908" w:rsidRDefault="00755908" w:rsidP="004854E6">
            <w:pPr>
              <w:autoSpaceDE w:val="0"/>
              <w:autoSpaceDN w:val="0"/>
              <w:adjustRightInd w:val="0"/>
            </w:pPr>
            <w:r>
              <w:t>Площадь переданного во временное владение и (или) в пользование з</w:t>
            </w:r>
            <w:r>
              <w:t>е</w:t>
            </w:r>
            <w:r>
              <w:t>мельного участка (в ква</w:t>
            </w:r>
            <w:r>
              <w:t>д</w:t>
            </w:r>
            <w:r>
              <w:t>ратных метрах)</w:t>
            </w:r>
          </w:p>
        </w:tc>
        <w:tc>
          <w:tcPr>
            <w:tcW w:w="1390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1 000</w:t>
            </w:r>
          </w:p>
        </w:tc>
        <w:tc>
          <w:tcPr>
            <w:tcW w:w="1211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0,50</w:t>
            </w:r>
          </w:p>
        </w:tc>
        <w:tc>
          <w:tcPr>
            <w:tcW w:w="995" w:type="dxa"/>
            <w:shd w:val="clear" w:color="auto" w:fill="auto"/>
            <w:hideMark/>
          </w:tcPr>
          <w:p w:rsidR="00755908" w:rsidRPr="0073510C" w:rsidRDefault="00755908" w:rsidP="0073510C">
            <w:pPr>
              <w:jc w:val="right"/>
            </w:pPr>
            <w:r w:rsidRPr="0073510C">
              <w:t>0,40</w:t>
            </w:r>
          </w:p>
        </w:tc>
      </w:tr>
    </w:tbl>
    <w:p w:rsidR="00776E4F" w:rsidRDefault="00776E4F" w:rsidP="00776E4F">
      <w:pPr>
        <w:tabs>
          <w:tab w:val="left" w:pos="1861"/>
        </w:tabs>
      </w:pPr>
    </w:p>
    <w:p w:rsidR="00837E75" w:rsidRDefault="00837E75" w:rsidP="00837E75">
      <w:pPr>
        <w:autoSpaceDE w:val="0"/>
        <w:autoSpaceDN w:val="0"/>
        <w:adjustRightInd w:val="0"/>
        <w:jc w:val="both"/>
        <w:outlineLvl w:val="0"/>
      </w:pPr>
    </w:p>
    <w:p w:rsidR="00916308" w:rsidRDefault="00916308" w:rsidP="00776E4F">
      <w:pPr>
        <w:tabs>
          <w:tab w:val="left" w:pos="1861"/>
        </w:tabs>
      </w:pPr>
    </w:p>
    <w:sectPr w:rsidR="00916308" w:rsidSect="00916308">
      <w:pgSz w:w="16838" w:h="11906" w:orient="landscape"/>
      <w:pgMar w:top="902" w:right="539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07" w:rsidRDefault="002E6807">
      <w:r>
        <w:separator/>
      </w:r>
    </w:p>
  </w:endnote>
  <w:endnote w:type="continuationSeparator" w:id="0">
    <w:p w:rsidR="002E6807" w:rsidRDefault="002E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07" w:rsidRDefault="002E6807">
      <w:r>
        <w:separator/>
      </w:r>
    </w:p>
  </w:footnote>
  <w:footnote w:type="continuationSeparator" w:id="0">
    <w:p w:rsidR="002E6807" w:rsidRDefault="002E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A0F"/>
    <w:multiLevelType w:val="hybridMultilevel"/>
    <w:tmpl w:val="3F72839A"/>
    <w:lvl w:ilvl="0" w:tplc="3E34AEA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66AF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C6C17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46CC13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998E9F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2327C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84A41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79A2A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8E42D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ED927CF"/>
    <w:multiLevelType w:val="hybridMultilevel"/>
    <w:tmpl w:val="E884B902"/>
    <w:lvl w:ilvl="0" w:tplc="640A5B1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864B7"/>
    <w:multiLevelType w:val="hybridMultilevel"/>
    <w:tmpl w:val="0C2A230A"/>
    <w:lvl w:ilvl="0" w:tplc="35A669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3C566D30"/>
    <w:multiLevelType w:val="hybridMultilevel"/>
    <w:tmpl w:val="46300768"/>
    <w:lvl w:ilvl="0" w:tplc="35A6692C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4">
    <w:nsid w:val="46515253"/>
    <w:multiLevelType w:val="hybridMultilevel"/>
    <w:tmpl w:val="18643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D0349"/>
    <w:multiLevelType w:val="hybridMultilevel"/>
    <w:tmpl w:val="104A22FA"/>
    <w:lvl w:ilvl="0" w:tplc="640A5B1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59CF22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7E"/>
    <w:rsid w:val="00023E1D"/>
    <w:rsid w:val="000243E8"/>
    <w:rsid w:val="00052DA0"/>
    <w:rsid w:val="00054D91"/>
    <w:rsid w:val="000562A2"/>
    <w:rsid w:val="000949D6"/>
    <w:rsid w:val="000E6543"/>
    <w:rsid w:val="000F3A91"/>
    <w:rsid w:val="00104846"/>
    <w:rsid w:val="001333EA"/>
    <w:rsid w:val="00164E29"/>
    <w:rsid w:val="001727BB"/>
    <w:rsid w:val="00191E6D"/>
    <w:rsid w:val="001A3396"/>
    <w:rsid w:val="001B1D7E"/>
    <w:rsid w:val="001B3F53"/>
    <w:rsid w:val="001C549E"/>
    <w:rsid w:val="001D1CD4"/>
    <w:rsid w:val="00205D0F"/>
    <w:rsid w:val="00240220"/>
    <w:rsid w:val="0024710A"/>
    <w:rsid w:val="0025474D"/>
    <w:rsid w:val="0029358E"/>
    <w:rsid w:val="002B6EB3"/>
    <w:rsid w:val="002E6807"/>
    <w:rsid w:val="002E7EDC"/>
    <w:rsid w:val="002F2996"/>
    <w:rsid w:val="002F6B2A"/>
    <w:rsid w:val="00305BEA"/>
    <w:rsid w:val="00320266"/>
    <w:rsid w:val="00324894"/>
    <w:rsid w:val="003A2372"/>
    <w:rsid w:val="003C14B2"/>
    <w:rsid w:val="00401103"/>
    <w:rsid w:val="0043000F"/>
    <w:rsid w:val="0047028B"/>
    <w:rsid w:val="004854E6"/>
    <w:rsid w:val="004B40EF"/>
    <w:rsid w:val="004B539E"/>
    <w:rsid w:val="004C0377"/>
    <w:rsid w:val="004D7B33"/>
    <w:rsid w:val="005033DA"/>
    <w:rsid w:val="0051582F"/>
    <w:rsid w:val="005176B2"/>
    <w:rsid w:val="005506F4"/>
    <w:rsid w:val="00585771"/>
    <w:rsid w:val="00587A21"/>
    <w:rsid w:val="005A2F5E"/>
    <w:rsid w:val="0062101D"/>
    <w:rsid w:val="00655D85"/>
    <w:rsid w:val="00684892"/>
    <w:rsid w:val="006A289D"/>
    <w:rsid w:val="006D5E24"/>
    <w:rsid w:val="00727F9E"/>
    <w:rsid w:val="0073510C"/>
    <w:rsid w:val="0074216F"/>
    <w:rsid w:val="00755908"/>
    <w:rsid w:val="007715C2"/>
    <w:rsid w:val="007766D4"/>
    <w:rsid w:val="00776E4F"/>
    <w:rsid w:val="00793A40"/>
    <w:rsid w:val="007D0904"/>
    <w:rsid w:val="007D18C0"/>
    <w:rsid w:val="007D4AFC"/>
    <w:rsid w:val="007E33C2"/>
    <w:rsid w:val="00837E75"/>
    <w:rsid w:val="008D10C8"/>
    <w:rsid w:val="008D3807"/>
    <w:rsid w:val="008F2B6B"/>
    <w:rsid w:val="008F4BED"/>
    <w:rsid w:val="00904032"/>
    <w:rsid w:val="00916308"/>
    <w:rsid w:val="00971A55"/>
    <w:rsid w:val="00976B57"/>
    <w:rsid w:val="00985BCB"/>
    <w:rsid w:val="00991B00"/>
    <w:rsid w:val="00996ABF"/>
    <w:rsid w:val="009B44A1"/>
    <w:rsid w:val="009C37DF"/>
    <w:rsid w:val="00A01998"/>
    <w:rsid w:val="00A42525"/>
    <w:rsid w:val="00A6636E"/>
    <w:rsid w:val="00A66D14"/>
    <w:rsid w:val="00A75929"/>
    <w:rsid w:val="00A87468"/>
    <w:rsid w:val="00A957C0"/>
    <w:rsid w:val="00AB0C13"/>
    <w:rsid w:val="00AC71E1"/>
    <w:rsid w:val="00AD7DD4"/>
    <w:rsid w:val="00AE4088"/>
    <w:rsid w:val="00B366FF"/>
    <w:rsid w:val="00B41A82"/>
    <w:rsid w:val="00B50F72"/>
    <w:rsid w:val="00B70672"/>
    <w:rsid w:val="00B761B6"/>
    <w:rsid w:val="00B85821"/>
    <w:rsid w:val="00B85970"/>
    <w:rsid w:val="00BC10B3"/>
    <w:rsid w:val="00BD33A2"/>
    <w:rsid w:val="00C17A89"/>
    <w:rsid w:val="00C34558"/>
    <w:rsid w:val="00C44E44"/>
    <w:rsid w:val="00C66D0A"/>
    <w:rsid w:val="00C7452D"/>
    <w:rsid w:val="00C82107"/>
    <w:rsid w:val="00CA561D"/>
    <w:rsid w:val="00CC5A28"/>
    <w:rsid w:val="00CD3D19"/>
    <w:rsid w:val="00CE7CCC"/>
    <w:rsid w:val="00CF43C3"/>
    <w:rsid w:val="00D778D0"/>
    <w:rsid w:val="00D84536"/>
    <w:rsid w:val="00D952EC"/>
    <w:rsid w:val="00DA3C3E"/>
    <w:rsid w:val="00DD1720"/>
    <w:rsid w:val="00DD73B8"/>
    <w:rsid w:val="00E02927"/>
    <w:rsid w:val="00E049E3"/>
    <w:rsid w:val="00E21AC1"/>
    <w:rsid w:val="00E27E89"/>
    <w:rsid w:val="00E629FF"/>
    <w:rsid w:val="00E72A56"/>
    <w:rsid w:val="00EB5EBE"/>
    <w:rsid w:val="00EB69EB"/>
    <w:rsid w:val="00EC0C46"/>
    <w:rsid w:val="00F05F16"/>
    <w:rsid w:val="00F279A3"/>
    <w:rsid w:val="00F322CA"/>
    <w:rsid w:val="00F50237"/>
    <w:rsid w:val="00F83E0A"/>
    <w:rsid w:val="00FA5D74"/>
    <w:rsid w:val="00FB671F"/>
    <w:rsid w:val="00FB6B8E"/>
    <w:rsid w:val="00FC2B5B"/>
    <w:rsid w:val="00FD0AE6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90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onsultant" w:hAnsi="Consultant"/>
      <w:sz w:val="20"/>
    </w:rPr>
  </w:style>
  <w:style w:type="paragraph" w:customStyle="1" w:styleId="21">
    <w:name w:val="Основной текст с отступом 21"/>
    <w:basedOn w:val="a"/>
    <w:pPr>
      <w:overflowPunct w:val="0"/>
      <w:autoSpaceDE w:val="0"/>
      <w:autoSpaceDN w:val="0"/>
      <w:adjustRightInd w:val="0"/>
      <w:ind w:firstLine="485"/>
      <w:jc w:val="both"/>
    </w:pPr>
    <w:rPr>
      <w:szCs w:val="20"/>
    </w:rPr>
  </w:style>
  <w:style w:type="paragraph" w:customStyle="1" w:styleId="ConsNormal">
    <w:name w:val="ConsNormal"/>
    <w:rsid w:val="004011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011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210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90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onsultant" w:hAnsi="Consultant"/>
      <w:sz w:val="20"/>
    </w:rPr>
  </w:style>
  <w:style w:type="paragraph" w:customStyle="1" w:styleId="21">
    <w:name w:val="Основной текст с отступом 21"/>
    <w:basedOn w:val="a"/>
    <w:pPr>
      <w:overflowPunct w:val="0"/>
      <w:autoSpaceDE w:val="0"/>
      <w:autoSpaceDN w:val="0"/>
      <w:adjustRightInd w:val="0"/>
      <w:ind w:firstLine="485"/>
      <w:jc w:val="both"/>
    </w:pPr>
    <w:rPr>
      <w:szCs w:val="20"/>
    </w:rPr>
  </w:style>
  <w:style w:type="paragraph" w:customStyle="1" w:styleId="ConsNormal">
    <w:name w:val="ConsNormal"/>
    <w:rsid w:val="004011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011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210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Даудов Атлыгиши Даудович</cp:lastModifiedBy>
  <cp:revision>4</cp:revision>
  <cp:lastPrinted>2014-11-27T11:46:00Z</cp:lastPrinted>
  <dcterms:created xsi:type="dcterms:W3CDTF">2017-03-09T06:43:00Z</dcterms:created>
  <dcterms:modified xsi:type="dcterms:W3CDTF">2017-03-09T06:44:00Z</dcterms:modified>
</cp:coreProperties>
</file>