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90235" w:rsidRPr="003D06F9" w:rsidTr="001902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 декабря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21AA4" w:rsidRPr="003D06F9" w:rsidRDefault="00821AA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N 51-РЗ</w:t>
            </w:r>
          </w:p>
        </w:tc>
      </w:tr>
    </w:tbl>
    <w:p w:rsidR="00821AA4" w:rsidRPr="003D06F9" w:rsidRDefault="00821AA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ЗАКОН</w:t>
      </w:r>
    </w:p>
    <w:p w:rsidR="00821AA4" w:rsidRPr="003D06F9" w:rsidRDefault="00821A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821AA4" w:rsidRPr="003D06F9" w:rsidRDefault="00821A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О ВНЕСЕНИИ ИЗМЕНЕНИЙ В СТАТЬЮ 2</w:t>
      </w:r>
      <w:proofErr w:type="gramStart"/>
      <w:r w:rsidRPr="003D06F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D06F9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821AA4" w:rsidRPr="003D06F9" w:rsidRDefault="00821A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К ЗАКОНУ КАБАРДИНО-БАЛКАРСКОЙ РЕСПУБЛИКИ</w:t>
      </w:r>
    </w:p>
    <w:p w:rsidR="00821AA4" w:rsidRPr="003D06F9" w:rsidRDefault="00821A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"О ПАТЕНТНОЙ СИСТЕМЕ НАЛОГООБЛОЖЕНИЯ</w:t>
      </w:r>
    </w:p>
    <w:p w:rsidR="00821AA4" w:rsidRPr="003D06F9" w:rsidRDefault="00821A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НА ТЕРРИТОРИИ КАБАРДИНО-БАЛКАРСКОЙ РЕСПУБЛИКИ"</w:t>
      </w:r>
    </w:p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06F9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Парламентом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24 декабря 2020 года</w:t>
      </w:r>
    </w:p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Статья 1</w:t>
      </w:r>
    </w:p>
    <w:p w:rsidR="00821AA4" w:rsidRPr="003D06F9" w:rsidRDefault="00821A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1AA4" w:rsidRPr="003D06F9" w:rsidRDefault="00821A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6F9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3D06F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D06F9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 от 29 ноября 2012 года N 86-РЗ "О патентной системе налогообложения на территории Кабардино-Балкарской Республики" (Официальный интернет-портал правовой информации (www.pravo.gov.ru) следующие изменения:</w:t>
      </w:r>
      <w:proofErr w:type="gramEnd"/>
    </w:p>
    <w:p w:rsidR="00821AA4" w:rsidRPr="003D06F9" w:rsidRDefault="00821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6" w:history="1">
        <w:r w:rsidRPr="003D06F9">
          <w:rPr>
            <w:rFonts w:ascii="Times New Roman" w:hAnsi="Times New Roman" w:cs="Times New Roman"/>
            <w:sz w:val="24"/>
            <w:szCs w:val="24"/>
          </w:rPr>
          <w:t>части 1 статьи 2</w:t>
        </w:r>
      </w:hyperlink>
      <w:r w:rsidRPr="003D06F9">
        <w:rPr>
          <w:rFonts w:ascii="Times New Roman" w:hAnsi="Times New Roman" w:cs="Times New Roman"/>
          <w:sz w:val="24"/>
          <w:szCs w:val="24"/>
        </w:rPr>
        <w:t xml:space="preserve"> слова "на год", второе предложение исключить.</w:t>
      </w:r>
    </w:p>
    <w:p w:rsidR="00821AA4" w:rsidRPr="003D06F9" w:rsidRDefault="00821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 xml:space="preserve">2. </w:t>
      </w:r>
      <w:hyperlink r:id="rId7" w:history="1">
        <w:r w:rsidRPr="003D06F9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3D06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"Приложение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к Закону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"О патентной системе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налогообложения на территории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Кабардино-Балкарской Республики"</w:t>
      </w:r>
    </w:p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РАЗМЕРЫ</w:t>
      </w:r>
    </w:p>
    <w:p w:rsidR="00821AA4" w:rsidRPr="003D06F9" w:rsidRDefault="00821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 xml:space="preserve">ПОТЕНЦИАЛЬНО </w:t>
      </w:r>
      <w:proofErr w:type="gramStart"/>
      <w:r w:rsidRPr="003D06F9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3D06F9">
        <w:rPr>
          <w:rFonts w:ascii="Times New Roman" w:hAnsi="Times New Roman" w:cs="Times New Roman"/>
          <w:sz w:val="24"/>
          <w:szCs w:val="24"/>
        </w:rPr>
        <w:t xml:space="preserve"> К ПОЛУЧЕНИЮ ИНДИВИДУАЛЬНЫМ</w:t>
      </w:r>
    </w:p>
    <w:p w:rsidR="00821AA4" w:rsidRPr="003D06F9" w:rsidRDefault="00821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ПРЕДПРИНИМАТЕЛЕМ ГОДОВОГО ДОХОДА ПО ВИДАМ</w:t>
      </w:r>
    </w:p>
    <w:p w:rsidR="00821AA4" w:rsidRPr="003D06F9" w:rsidRDefault="00821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</w:t>
      </w:r>
    </w:p>
    <w:p w:rsidR="00821AA4" w:rsidRPr="003D06F9" w:rsidRDefault="00821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06F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D06F9">
        <w:rPr>
          <w:rFonts w:ascii="Times New Roman" w:hAnsi="Times New Roman" w:cs="Times New Roman"/>
          <w:sz w:val="24"/>
          <w:szCs w:val="24"/>
        </w:rPr>
        <w:t xml:space="preserve"> ПРИМЕНЯЕТСЯ ПАТЕНТНАЯ СИСТЕМА НАЛОГООБЛОЖЕНИЯ</w:t>
      </w:r>
    </w:p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778"/>
        <w:gridCol w:w="1559"/>
        <w:gridCol w:w="1984"/>
        <w:gridCol w:w="2041"/>
      </w:tblGrid>
      <w:tr w:rsidR="00190235" w:rsidRPr="003D06F9">
        <w:tc>
          <w:tcPr>
            <w:tcW w:w="710" w:type="dxa"/>
            <w:vAlign w:val="center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  <w:vAlign w:val="center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предпринимательской деятельности в соответствии с </w:t>
            </w:r>
            <w:hyperlink r:id="rId8" w:history="1">
              <w:r w:rsidRPr="003D06F9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346.43</w:t>
              </w:r>
            </w:hyperlink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отношении которых применяется патентная система налогообложения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потенциально возможного к получению индивидуальным предпринимателем годового дохода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1984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группировки видов экономической деятельности по Общероссийскому </w:t>
            </w:r>
            <w:hyperlink r:id="rId9" w:history="1">
              <w:r w:rsidRPr="003D06F9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ОК 029-2014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(КДЕС</w:t>
            </w:r>
            <w:proofErr w:type="gram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ед. 2)</w:t>
            </w:r>
          </w:p>
        </w:tc>
        <w:tc>
          <w:tcPr>
            <w:tcW w:w="2041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группировки видов экономической деятельности по Общероссийскому </w:t>
            </w:r>
            <w:hyperlink r:id="rId10" w:history="1">
              <w:r w:rsidRPr="003D06F9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</w:t>
            </w: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13.92.2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13.99.4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14.11.2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14.12.2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14.13.3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14.14.4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14.19.5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14.20.2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14.31.2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14.39.2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обуви: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15.20.5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15.20.99.200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95.23.10.100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95.23.10.140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95.23.10.190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Парикмахерские и косметические услуги: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96.02.1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96.02.2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Стирка, химическая чистка и крашение текстильных и меховых изделий: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96.01.12.200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96.01.14.111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96.01.14.112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96.01.14.113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96.01.14.114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96.01.14.115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96.01.14.116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96.01.14.117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96.01.14.119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96.01.19.116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96.01.19.117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96.01.19.118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96.01.19.119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96.01.19.126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96.01.19.127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96.01.19.128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96.01.19.129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96.01.19.131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96.01.19.132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96.01.19.139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95.29.42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95.29.19.221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работников от 6 до 10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25.99.3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32.13.2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33.13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95.25.1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95.29.6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95.29.7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95.21.10.100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95.21.10.190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95.21.10.200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95.22.10.100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95.22.10.190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95.22.10.200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95.22.10.230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95.24.10.116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95.24.10.117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95.24.10.118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95.24.10.119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95.24.10.120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95.24.10.130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95.24.10.190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95.24.10.191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95.24.10.192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95.24.10.193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95.24.10.194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95.24.10.199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95.25.11.126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фотографии: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74.20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74.20.23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74.20.31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74.20.32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74.20.39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Ремонт, техническое обслуживание автотранспортных и </w:t>
            </w:r>
            <w:proofErr w:type="spell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45.20.1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прочих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автотранспортных средств: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45.20.2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Мойка автотранспортных средств, полирование и предоставление аналогичных услуг: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45.20.3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Техническая помощь на дорогах и транспортирование неисправных автотранспортных средств к месту их ремонта или стоянки: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45.20.4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49.41.1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49.41.2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49.41.3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49.42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количество автотранспортных средств, используемых для перевозки грузов, 1 единица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количество автотранспортных средств, используемых для перевозки грузов, от 2 до 5 единиц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автотранспортных средств, используемых для перевозки грузов, от 6 до 20 единиц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49.39.11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49.39.12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49.39.13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количество автотранспортных средств, используемых для перевозки пассажиров, 1 единица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количество автотранспортных средств, используемых для перевозки пассажиров, от 2 до 5 единиц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количество автотранспортных средств, используемых для перевозки пассажиров, от 6 до 20 единиц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43.29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43.99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43.31.10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43.32.10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43.33.10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43.33.2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43.39.11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43.29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43.34.2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43.34.20.190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96.09.19.128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в сфере дошкольного образования и дополнительного образования детей и взрослых: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85.41.9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85.42.9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88.10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Сбор тары и пригодных для вторичного использования материалов: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47.99.90.000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Деятельность ветеринарная: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75.00.1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75.00.2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работников до 5 человек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жилым недвижимым имуществом: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68.20.1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общей площадью до 50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общей площадью от 51 до 100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общей площадью от 101 до 300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общей площадью от 301 квадратного метра и выше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нежилым недвижимым имуществом (включая выставочные залы, складские помещения):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68.20.2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до 1000 квадратных метров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3000 (за 1 квадратный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 площади)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32.99.8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переработке продуктов сельского хозяйства, лесного хозяйства,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13.10.2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13.10.3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13.10.9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Производство и реставрация ковров и ковровых изделий: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13.93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изделий, бижутерии: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95.25.2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95.25.12.110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95.25.12.114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95.25.12.119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Чеканка и гравировка ювелирных изделий: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32.12.6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32.12.99.216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звукозаписи и издания музыкальных произведений: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59.20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уборке квартир и частных домов, деятельность домашних хозяйств с наемными работниками: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81.21.1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81.21.10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81.22.11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81.22.13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Деятельность, специализированная в области дизайна, услуги художественного оформления: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74.10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74.10.11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74.10.19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физической культуре и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93.11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93.12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93.13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49.41.17.000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платных туалетов: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- 1 единица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- 2 единицы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- от 3 единиц и выше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56.10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  <w:proofErr w:type="gramEnd"/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01.63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01.61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работников от 6 до 10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Деятельность по благоустройству ландшафта: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81.30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01.70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1" w:history="1">
              <w:r w:rsidRPr="003D06F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от 12 апреля 2010 года N 61-ФЗ "Об обращении лекарственных средств":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86.90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80.30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прокату: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77.21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77.22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77.29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93.29.3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77.21.10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77.22.10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77.29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экскурсионные туристические: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79.12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79.90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том числе музыкальное сопровождение: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93.29.3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предоставление связанных с ними услуг: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96.03.11.100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96.03.11.200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96.03.11.300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96.03.11.311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96.03.11.312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96.03.11.313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96.03.11.314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96.03.11.315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96.03.11.316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96.03.11.319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96.03.12.116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96.03.12.117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96.03.12.118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96.03.12.119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96.03.12.121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96.03.12.122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96.03.12.123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96.03.12.129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уличных патрулей, охранников, сторожей и вахтеров: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80.10.12.000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площадь торгового зала до 50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площадь торгового зала от 51 до 100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площадь торгового зала от 101 до 150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на один объект стационарной (нестационарной) торговой сети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56.10.1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56.21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площадь зала обслуживания посетителей общей площадью до 50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площадь зала обслуживания посетителей общей площадью от 51 до 100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площадь зала обслуживания посетителей общей площадью от 101 до 150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56.10.21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56.10.19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Оказание услуг по забою и транспортировке скота: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01.62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02.30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фруктов и овощей: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Растениеводство, услуги в области растениеводства: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01.61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 мучных кондитерских изделий: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Рыболовство и рыбоводство, рыболовство любительское и спортивное: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74.30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74.30.11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74.30.12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87.3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Резка, </w:t>
            </w:r>
            <w:proofErr w:type="spell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обработкаи</w:t>
            </w:r>
            <w:proofErr w:type="spellEnd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 отделка камня для памятников: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23.70.2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работников до 5 человек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640000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-страниц, включая их адаптацию и модификацию: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62.01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62.02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95.12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95.11.10.110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95.11.10.120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95.12.10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стенографирования и расшифровки записанных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82.99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Секретарские услуги: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82.19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82.19.13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посреднические на информацию о финансовых, экономических и промышленных и иных данных по индивидуальному заказу населения: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агентств по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подбору персонала: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78.10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фейерверков: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93.29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93.29.21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оборудования: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81.29.1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копировально-множительные по индивидуальному заказу населения: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96.09.19.113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ландшафтной архитектуры и консультативные услуги в области архитектуры: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71.11.3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Животноводство, услуги в области животноводства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01.4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01.62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Деятельность стоянок для транспортных средств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52.21.24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общей площадью до 100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общей площадью от 101 до 300 квадратных метров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общей площадью от 301 квадратного метра и выше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10.61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уходу за домашними животными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96.09.11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16.24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96.09.19.127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16.24.12</w:t>
            </w:r>
          </w:p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23.49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валяной обуви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15.20.99.217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96.09.19.129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96.09.19.126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при средней численности </w:t>
            </w: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16.29.3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16.29.99.200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95.29.3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Ремонт спортивного и туристического оборудования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95.29.2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96.09.19.125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Услуги по распиловке дров по индивидуальному заказу населения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96.09.19.125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Сбор и ремонт очков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47.78.22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47.78.20.200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58.19.11.200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Переплетные, брошюровочные, окантовочные, картонажные работы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18.14</w:t>
            </w: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18.14.10.200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сифонов и </w:t>
            </w:r>
            <w:proofErr w:type="spellStart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автосифонов</w:t>
            </w:r>
            <w:proofErr w:type="spellEnd"/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, в том числе зарядка газовых баллончиков для сифонов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1AA4" w:rsidRPr="003D06F9" w:rsidRDefault="0082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95.22.10.247."</w:t>
            </w: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без наемных работников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до 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6 до 10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35" w:rsidRPr="003D06F9">
        <w:tc>
          <w:tcPr>
            <w:tcW w:w="710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1AA4" w:rsidRPr="003D06F9" w:rsidRDefault="00821A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при средней численности работников от 11 до 15 человек включительно</w:t>
            </w:r>
          </w:p>
        </w:tc>
        <w:tc>
          <w:tcPr>
            <w:tcW w:w="1559" w:type="dxa"/>
          </w:tcPr>
          <w:p w:rsidR="00821AA4" w:rsidRPr="003D06F9" w:rsidRDefault="00821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9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984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1AA4" w:rsidRPr="003D06F9" w:rsidRDefault="0082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Статья 2</w:t>
      </w:r>
    </w:p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AA4" w:rsidRPr="003D06F9" w:rsidRDefault="00821A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налогу, уплачиваемому в связи с применением патентной системы налогообложения.</w:t>
      </w:r>
    </w:p>
    <w:p w:rsidR="00821AA4" w:rsidRPr="003D06F9" w:rsidRDefault="00821A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A73" w:rsidRPr="003D06F9" w:rsidRDefault="00821AA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06F9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06F9">
        <w:rPr>
          <w:rFonts w:ascii="Times New Roman" w:hAnsi="Times New Roman" w:cs="Times New Roman"/>
          <w:i/>
          <w:sz w:val="24"/>
          <w:szCs w:val="24"/>
        </w:rPr>
        <w:t>Кабардино-Балкарской Республики</w:t>
      </w:r>
    </w:p>
    <w:p w:rsidR="00821AA4" w:rsidRPr="003D06F9" w:rsidRDefault="00821A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6F9">
        <w:rPr>
          <w:rFonts w:ascii="Times New Roman" w:hAnsi="Times New Roman" w:cs="Times New Roman"/>
          <w:i/>
          <w:sz w:val="24"/>
          <w:szCs w:val="24"/>
        </w:rPr>
        <w:t>К.</w:t>
      </w:r>
      <w:r w:rsidR="00C57A73" w:rsidRPr="003D06F9">
        <w:rPr>
          <w:rFonts w:ascii="Times New Roman" w:hAnsi="Times New Roman" w:cs="Times New Roman"/>
          <w:i/>
          <w:sz w:val="24"/>
          <w:szCs w:val="24"/>
        </w:rPr>
        <w:t xml:space="preserve"> Коков</w:t>
      </w:r>
    </w:p>
    <w:p w:rsidR="005F2C8B" w:rsidRPr="003D06F9" w:rsidRDefault="005F2C8B">
      <w:pPr>
        <w:rPr>
          <w:rFonts w:ascii="Times New Roman" w:hAnsi="Times New Roman" w:cs="Times New Roman"/>
          <w:sz w:val="24"/>
          <w:szCs w:val="24"/>
        </w:rPr>
      </w:pPr>
    </w:p>
    <w:sectPr w:rsidR="005F2C8B" w:rsidRPr="003D06F9" w:rsidSect="006B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A4"/>
    <w:rsid w:val="00190235"/>
    <w:rsid w:val="003D06F9"/>
    <w:rsid w:val="005F2C8B"/>
    <w:rsid w:val="00821AA4"/>
    <w:rsid w:val="00C34A39"/>
    <w:rsid w:val="00C5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1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1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1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1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1A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1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1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1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1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1A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5995DF86DC95FC9193FD8F87CE625AFB2F1AA58C25E369E13A8AB2E332C6C098DBD05CE2DD88309637C02AF286116187AA057F42F055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55995DF86DC95FC91921D5EE10BB28A8BFA7A15CC65D69C44CF3F6793A263B4EC2E4418C29D08B54313303F36D3105197EA055F5335FC79B0F5E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55995DF86DC95FC91921D5EE10BB28A8BFA7A15CC65D69C44CF3F6793A263B4EC2E4418C29D0885D343051A97D354C4D76BF50EA2D5CD99BFFB7025EI" TargetMode="External"/><Relationship Id="rId11" Type="http://schemas.openxmlformats.org/officeDocument/2006/relationships/hyperlink" Target="consultantplus://offline/ref=2DFD83A80E598FC5E3AAC7B46BAD8170CF1F6A3541A5CBB92D16ED2C9DCC1E4CD51E56464F9B9FC0840262DD621450I" TargetMode="External"/><Relationship Id="rId5" Type="http://schemas.openxmlformats.org/officeDocument/2006/relationships/hyperlink" Target="consultantplus://offline/ref=E855995DF86DC95FC91921D5EE10BB28A8BFA7A15CC65D69C44CF3F6793A263B4EC2E4538C71DC89582C3856BC2B640A0159I" TargetMode="External"/><Relationship Id="rId10" Type="http://schemas.openxmlformats.org/officeDocument/2006/relationships/hyperlink" Target="consultantplus://offline/ref=E855995DF86DC95FC9193FD8F87CE625AFB3F8AD52C35E369E13A8AB2E332C6C1B8DE50FC921CF885C2C3A57A0025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55995DF86DC95FC9193FD8F87CE625AFB3F8AD52C15E369E13A8AB2E332C6C1B8DE50FC921CF885C2C3A57A0025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5669</Words>
  <Characters>32318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Жанетта Исрафилевна</dc:creator>
  <cp:lastModifiedBy>Кадырова Жанетта Исрафилевна</cp:lastModifiedBy>
  <cp:revision>5</cp:revision>
  <dcterms:created xsi:type="dcterms:W3CDTF">2021-01-15T08:57:00Z</dcterms:created>
  <dcterms:modified xsi:type="dcterms:W3CDTF">2021-01-15T09:02:00Z</dcterms:modified>
</cp:coreProperties>
</file>