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2278C">
        <w:rPr>
          <w:rFonts w:ascii="Times New Roman" w:hAnsi="Times New Roman"/>
          <w:noProof/>
          <w:color w:val="000000"/>
          <w:sz w:val="28"/>
          <w:szCs w:val="28"/>
        </w:rPr>
        <w:t>01.08.2019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2278C">
        <w:rPr>
          <w:rFonts w:ascii="Times New Roman" w:hAnsi="Times New Roman"/>
          <w:noProof/>
          <w:color w:val="000000"/>
          <w:sz w:val="28"/>
          <w:szCs w:val="28"/>
        </w:rPr>
        <w:t>31.08.2019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A227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Pr="00887EF9" w:rsidRDefault="00A227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C" w:rsidRDefault="00A227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8C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2278C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59342-EEA1-4BDF-89C6-B6947F51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Нахова Фатимат Тимуровна</dc:creator>
  <cp:lastModifiedBy>Нахова Фатимат Тимуровна</cp:lastModifiedBy>
  <cp:revision>1</cp:revision>
  <cp:lastPrinted>2019-09-18T07:40:00Z</cp:lastPrinted>
  <dcterms:created xsi:type="dcterms:W3CDTF">2019-09-18T07:40:00Z</dcterms:created>
  <dcterms:modified xsi:type="dcterms:W3CDTF">2019-09-18T07:41:00Z</dcterms:modified>
</cp:coreProperties>
</file>