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000B0" w:rsidRPr="008000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466F" w:rsidRPr="008000B0" w:rsidRDefault="0060466F">
            <w:pPr>
              <w:pStyle w:val="ConsPlusNormal"/>
            </w:pPr>
            <w:r w:rsidRPr="008000B0">
              <w:t>24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466F" w:rsidRPr="008000B0" w:rsidRDefault="0060466F">
            <w:pPr>
              <w:pStyle w:val="ConsPlusNormal"/>
              <w:jc w:val="right"/>
            </w:pPr>
            <w:r w:rsidRPr="008000B0">
              <w:t>N 53-РЗ</w:t>
            </w:r>
          </w:p>
        </w:tc>
      </w:tr>
    </w:tbl>
    <w:p w:rsidR="0060466F" w:rsidRPr="008000B0" w:rsidRDefault="006046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Title"/>
        <w:jc w:val="center"/>
      </w:pPr>
      <w:r w:rsidRPr="008000B0">
        <w:t>ЗАКОН</w:t>
      </w:r>
    </w:p>
    <w:p w:rsidR="0060466F" w:rsidRPr="008000B0" w:rsidRDefault="0060466F">
      <w:pPr>
        <w:pStyle w:val="ConsPlusTitle"/>
        <w:jc w:val="center"/>
      </w:pPr>
      <w:r w:rsidRPr="008000B0">
        <w:t>КАРАЧАЕВО-ЧЕРКЕССКОЙ РЕСПУБЛИКИ</w:t>
      </w:r>
    </w:p>
    <w:p w:rsidR="0060466F" w:rsidRPr="008000B0" w:rsidRDefault="0060466F">
      <w:pPr>
        <w:pStyle w:val="ConsPlusTitle"/>
        <w:jc w:val="center"/>
      </w:pPr>
    </w:p>
    <w:p w:rsidR="0060466F" w:rsidRPr="008000B0" w:rsidRDefault="0060466F">
      <w:pPr>
        <w:pStyle w:val="ConsPlusTitle"/>
        <w:jc w:val="center"/>
      </w:pPr>
      <w:r w:rsidRPr="008000B0">
        <w:t>О ВНЕСЕНИИ ИЗМЕНЕНИЙ В ЗАКОН КАРАЧАЕВО-ЧЕРКЕССКОЙ РЕСПУБЛИКИ</w:t>
      </w:r>
    </w:p>
    <w:p w:rsidR="0060466F" w:rsidRPr="008000B0" w:rsidRDefault="0060466F">
      <w:pPr>
        <w:pStyle w:val="ConsPlusTitle"/>
        <w:jc w:val="center"/>
      </w:pPr>
      <w:r w:rsidRPr="008000B0">
        <w:t>"О НАЛОГЕ НА ИМУЩЕСТВО ОРГАНИЗАЦИЙ"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jc w:val="right"/>
      </w:pPr>
      <w:proofErr w:type="gramStart"/>
      <w:r w:rsidRPr="008000B0">
        <w:t>Принят</w:t>
      </w:r>
      <w:proofErr w:type="gramEnd"/>
    </w:p>
    <w:p w:rsidR="0060466F" w:rsidRPr="008000B0" w:rsidRDefault="0060466F">
      <w:pPr>
        <w:pStyle w:val="ConsPlusNormal"/>
        <w:jc w:val="right"/>
      </w:pPr>
      <w:r w:rsidRPr="008000B0">
        <w:t>Народным Собранием (Парламентом)</w:t>
      </w:r>
    </w:p>
    <w:p w:rsidR="0060466F" w:rsidRPr="008000B0" w:rsidRDefault="0060466F">
      <w:pPr>
        <w:pStyle w:val="ConsPlusNormal"/>
        <w:jc w:val="right"/>
      </w:pPr>
      <w:r w:rsidRPr="008000B0">
        <w:t>Карачаево-Черкесской Республики</w:t>
      </w:r>
    </w:p>
    <w:p w:rsidR="0060466F" w:rsidRPr="008000B0" w:rsidRDefault="0060466F">
      <w:pPr>
        <w:pStyle w:val="ConsPlusNormal"/>
        <w:jc w:val="right"/>
      </w:pPr>
      <w:r w:rsidRPr="008000B0">
        <w:t>23 ноября 2017 года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ind w:firstLine="540"/>
        <w:jc w:val="both"/>
        <w:outlineLvl w:val="0"/>
      </w:pPr>
      <w:r w:rsidRPr="008000B0">
        <w:t>Статья 1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ind w:firstLine="540"/>
        <w:jc w:val="both"/>
      </w:pPr>
      <w:r w:rsidRPr="008000B0">
        <w:t xml:space="preserve">Внести в </w:t>
      </w:r>
      <w:hyperlink r:id="rId5" w:history="1">
        <w:r w:rsidRPr="008000B0">
          <w:t>Закон</w:t>
        </w:r>
      </w:hyperlink>
      <w:r w:rsidRPr="008000B0">
        <w:t xml:space="preserve"> Карачаево-Черкесской Республики от 30 ноября 2016 г. N 77-РЗ "О налоге на имущество организаций" следующие изменения: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1) в </w:t>
      </w:r>
      <w:hyperlink r:id="rId6" w:history="1">
        <w:r w:rsidRPr="008000B0">
          <w:t>статье 1</w:t>
        </w:r>
      </w:hyperlink>
      <w:r w:rsidRPr="008000B0">
        <w:t>: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а) в </w:t>
      </w:r>
      <w:hyperlink r:id="rId7" w:history="1">
        <w:r w:rsidRPr="008000B0">
          <w:t>пунктах 1</w:t>
        </w:r>
      </w:hyperlink>
      <w:r w:rsidRPr="008000B0">
        <w:t xml:space="preserve"> - </w:t>
      </w:r>
      <w:hyperlink r:id="rId8" w:history="1">
        <w:r w:rsidRPr="008000B0">
          <w:t>3 части 1</w:t>
        </w:r>
      </w:hyperlink>
      <w:r w:rsidRPr="008000B0">
        <w:t xml:space="preserve"> цифры "3000" заменить цифрами "2750";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б) в </w:t>
      </w:r>
      <w:hyperlink r:id="rId9" w:history="1">
        <w:r w:rsidRPr="008000B0">
          <w:t>части 4</w:t>
        </w:r>
      </w:hyperlink>
      <w:r w:rsidRPr="008000B0">
        <w:t xml:space="preserve"> цифры "3000" заменить цифрами "2750";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2) </w:t>
      </w:r>
      <w:hyperlink r:id="rId10" w:history="1">
        <w:r w:rsidRPr="008000B0">
          <w:t>статью 2</w:t>
        </w:r>
      </w:hyperlink>
      <w:r w:rsidRPr="008000B0">
        <w:t xml:space="preserve"> из</w:t>
      </w:r>
      <w:bookmarkStart w:id="0" w:name="_GoBack"/>
      <w:bookmarkEnd w:id="0"/>
      <w:r w:rsidRPr="008000B0">
        <w:t>ложить в следующей редакции: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ind w:firstLine="540"/>
        <w:jc w:val="both"/>
      </w:pPr>
      <w:r w:rsidRPr="008000B0">
        <w:t>"Статья 2. Налоговые ставки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ind w:firstLine="540"/>
        <w:jc w:val="both"/>
      </w:pPr>
      <w:r w:rsidRPr="008000B0">
        <w:t>1. Налоговая ставка устанавливается в размере 2,2 процента, если иное не предусмотрено настоящей статьей.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bookmarkStart w:id="1" w:name="P26"/>
      <w:bookmarkEnd w:id="1"/>
      <w:r w:rsidRPr="008000B0">
        <w:t xml:space="preserve">2. </w:t>
      </w:r>
      <w:proofErr w:type="gramStart"/>
      <w:r w:rsidRPr="008000B0">
        <w:t>Налоговая ставка устанавливается в размере 1,5 процента в отношении имущества организаций, осуществляющих первичную и последующую (промышленную) переработку сельскохозяйственной продукции в мясной (производство мяса, продуктов из мяса и мяса птицы), молочной (производство молочных продуктов) и мукомольной (производство муки из зерновых и растительных культур и готовых мучных смесей и теста для выпечки) отраслях пищевой промышленности, а также осуществляющих производство хлеба и хлебобулочных</w:t>
      </w:r>
      <w:proofErr w:type="gramEnd"/>
      <w:r w:rsidRPr="008000B0">
        <w:t xml:space="preserve"> изделий, при условии, что выручка от данных видов деятельности составляет не менее 70 процентов общей суммы выручки от реализации продукции (работ, услуг), за исключением организаций, которые в дальнейшем реализуют потребителям и частично используют в производстве подакцизную продукцию с последующей ее реализацией.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3. </w:t>
      </w:r>
      <w:proofErr w:type="gramStart"/>
      <w:r w:rsidRPr="008000B0">
        <w:t>Налоговая ставка устанавливается в размере 1,1 процента в отношении имущества организаций, осуществляющих разведение крупного рогатого скота, овец, коз, свиней, лошадей, ослов, мулов, лошаков и сельскохозяйственной птицы, а также выращивание зерновых, масличных, кормовых культур, сахарной свеклы, при условии, что выручка от данных видов деятельности составляет не менее 70 процентов общей суммы выручки от реализации продукции (работ, услуг).</w:t>
      </w:r>
      <w:proofErr w:type="gramEnd"/>
    </w:p>
    <w:p w:rsidR="0060466F" w:rsidRPr="008000B0" w:rsidRDefault="0060466F">
      <w:pPr>
        <w:pStyle w:val="ConsPlusNormal"/>
        <w:spacing w:before="220"/>
        <w:ind w:firstLine="540"/>
        <w:jc w:val="both"/>
      </w:pPr>
      <w:bookmarkStart w:id="2" w:name="P28"/>
      <w:bookmarkEnd w:id="2"/>
      <w:r w:rsidRPr="008000B0">
        <w:t>4. Налоговая ставка в отношении объектов недвижимого имущества, налоговая база по которым определяется как их кадастровая стоимость, устанавливается в размере 1,4 процента - в 2018 году, 1,7 процента - в 2019 году и 2,0 процента - в 2020 и последующие годы.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5. Налоговая ставка в отношении магистральных трубопроводов, линий </w:t>
      </w:r>
      <w:proofErr w:type="spellStart"/>
      <w:r w:rsidRPr="008000B0">
        <w:t>энергопередачи</w:t>
      </w:r>
      <w:proofErr w:type="spellEnd"/>
      <w:r w:rsidRPr="008000B0">
        <w:t xml:space="preserve">, а </w:t>
      </w:r>
      <w:r w:rsidRPr="008000B0">
        <w:lastRenderedPageBreak/>
        <w:t>также сооружений, являющихся неотъемлемой технологической частью указанных объектов, устанавливается в 2018 году в размере 1,9 процента.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>6. Налоговые ставки в отношении железнодорожных путей общего пользования и сооружений, являющихся их неотъемлемой технологической частью, устанавливаются в размере 1,3 процента - в 2018 году, 1,3 процента - в 2019 году, 1,6 процента - в 2020 году.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7. Пониженные ставки, установленные </w:t>
      </w:r>
      <w:hyperlink w:anchor="P26" w:history="1">
        <w:r w:rsidRPr="008000B0">
          <w:t>частями 2</w:t>
        </w:r>
      </w:hyperlink>
      <w:r w:rsidRPr="008000B0">
        <w:t xml:space="preserve"> - </w:t>
      </w:r>
      <w:hyperlink w:anchor="P28" w:history="1">
        <w:r w:rsidRPr="008000B0">
          <w:t>4</w:t>
        </w:r>
      </w:hyperlink>
      <w:r w:rsidRPr="008000B0">
        <w:t xml:space="preserve"> настоящей статьи, применяются в отношении налогоплательщиков: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>1) не имеющих задолженности по платежам, подлежащим зачислению в консолидированный бюджет Карачаево-Черкесской Республики, на дату подачи налоговой декларации по налогу за налоговый период, за исключением приостановленных к взысканию платежей, отсроченной (рассроченной) задолженности, реструктурированной задолженности;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2) не находящихся в процессе ликвидации или реорганизации, а также в </w:t>
      </w:r>
      <w:proofErr w:type="gramStart"/>
      <w:r w:rsidRPr="008000B0">
        <w:t>отношении</w:t>
      </w:r>
      <w:proofErr w:type="gramEnd"/>
      <w:r w:rsidRPr="008000B0">
        <w:t xml:space="preserve"> которых не возбуждена процедура банкротства на конец каждого отчетного (налогового) периода, в котором налогоплательщик применил пониженную налоговую ставку.";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3) в </w:t>
      </w:r>
      <w:hyperlink r:id="rId11" w:history="1">
        <w:r w:rsidRPr="008000B0">
          <w:t>статье 4</w:t>
        </w:r>
      </w:hyperlink>
      <w:r w:rsidRPr="008000B0">
        <w:t>: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а) </w:t>
      </w:r>
      <w:hyperlink r:id="rId12" w:history="1">
        <w:r w:rsidRPr="008000B0">
          <w:t>пункт 1 части 1</w:t>
        </w:r>
      </w:hyperlink>
      <w:r w:rsidRPr="008000B0">
        <w:t xml:space="preserve"> признать утратившим силу;</w:t>
      </w:r>
    </w:p>
    <w:p w:rsidR="0060466F" w:rsidRPr="008000B0" w:rsidRDefault="0060466F">
      <w:pPr>
        <w:pStyle w:val="ConsPlusNormal"/>
        <w:spacing w:before="220"/>
        <w:ind w:firstLine="540"/>
        <w:jc w:val="both"/>
      </w:pPr>
      <w:r w:rsidRPr="008000B0">
        <w:t xml:space="preserve">б) в </w:t>
      </w:r>
      <w:hyperlink r:id="rId13" w:history="1">
        <w:r w:rsidRPr="008000B0">
          <w:t>пункте 2 части 3</w:t>
        </w:r>
      </w:hyperlink>
      <w:r w:rsidRPr="008000B0">
        <w:t xml:space="preserve"> слова "пониженную налоговую ставку" заменить словами "налоговую льготу".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ind w:firstLine="540"/>
        <w:jc w:val="both"/>
        <w:outlineLvl w:val="0"/>
      </w:pPr>
      <w:r w:rsidRPr="008000B0">
        <w:t>Статья 2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ind w:firstLine="540"/>
        <w:jc w:val="both"/>
      </w:pPr>
      <w:r w:rsidRPr="008000B0">
        <w:t>Настоящий Закон вступает в силу с 1 января 2018 года, но не ранее чем по истечении одного месяца со дня его официального опубликования.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jc w:val="right"/>
      </w:pPr>
      <w:r w:rsidRPr="008000B0">
        <w:t>Глава</w:t>
      </w:r>
    </w:p>
    <w:p w:rsidR="0060466F" w:rsidRPr="008000B0" w:rsidRDefault="0060466F">
      <w:pPr>
        <w:pStyle w:val="ConsPlusNormal"/>
        <w:jc w:val="right"/>
      </w:pPr>
      <w:r w:rsidRPr="008000B0">
        <w:t>Карачаево-Черкесской Республики</w:t>
      </w:r>
    </w:p>
    <w:p w:rsidR="0060466F" w:rsidRPr="008000B0" w:rsidRDefault="0060466F">
      <w:pPr>
        <w:pStyle w:val="ConsPlusNormal"/>
        <w:jc w:val="right"/>
      </w:pPr>
      <w:r w:rsidRPr="008000B0">
        <w:t>Р.Б.ТЕМРЕЗОВ</w:t>
      </w:r>
    </w:p>
    <w:p w:rsidR="0060466F" w:rsidRPr="008000B0" w:rsidRDefault="0060466F">
      <w:pPr>
        <w:pStyle w:val="ConsPlusNormal"/>
        <w:jc w:val="both"/>
      </w:pPr>
      <w:r w:rsidRPr="008000B0">
        <w:t>город Черкесск</w:t>
      </w:r>
    </w:p>
    <w:p w:rsidR="0060466F" w:rsidRPr="008000B0" w:rsidRDefault="0060466F">
      <w:pPr>
        <w:pStyle w:val="ConsPlusNormal"/>
        <w:spacing w:before="220"/>
        <w:jc w:val="both"/>
      </w:pPr>
      <w:r w:rsidRPr="008000B0">
        <w:t>24 ноября 2017 года</w:t>
      </w:r>
    </w:p>
    <w:p w:rsidR="0060466F" w:rsidRPr="008000B0" w:rsidRDefault="0060466F">
      <w:pPr>
        <w:pStyle w:val="ConsPlusNormal"/>
        <w:spacing w:before="220"/>
        <w:jc w:val="both"/>
      </w:pPr>
      <w:r w:rsidRPr="008000B0">
        <w:t>N 53-РЗ</w:t>
      </w: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jc w:val="both"/>
      </w:pPr>
    </w:p>
    <w:p w:rsidR="0060466F" w:rsidRPr="008000B0" w:rsidRDefault="006046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95C" w:rsidRPr="008000B0" w:rsidRDefault="002C395C"/>
    <w:sectPr w:rsidR="002C395C" w:rsidRPr="008000B0" w:rsidSect="004C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6F"/>
    <w:rsid w:val="002C395C"/>
    <w:rsid w:val="0060466F"/>
    <w:rsid w:val="008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E59B4517CE3A76B00F03E0BA7D0B680C79061D07CF9145F9394C8ACA4FD2AFF5106F446671FF8571DAEAY9M9N" TargetMode="External"/><Relationship Id="rId13" Type="http://schemas.openxmlformats.org/officeDocument/2006/relationships/hyperlink" Target="consultantplus://offline/ref=2AE59B4517CE3A76B00F03E0BA7D0B680C79061D07CF9145F9394C8ACA4FD2AFF5106F446671FF8571DAE8Y9M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E59B4517CE3A76B00F03E0BA7D0B680C79061D07CF9145F9394C8ACA4FD2AFF5106F446671FF8571DAEBY9M1N" TargetMode="External"/><Relationship Id="rId12" Type="http://schemas.openxmlformats.org/officeDocument/2006/relationships/hyperlink" Target="consultantplus://offline/ref=2AE59B4517CE3A76B00F03E0BA7D0B680C79061D07CF9145F9394C8ACA4FD2AFF5106F446671FF8571DAE9Y9M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E59B4517CE3A76B00F03E0BA7D0B680C79061D07CF9145F9394C8ACA4FD2AFF5106F446671FF8571DAEBY9MFN" TargetMode="External"/><Relationship Id="rId11" Type="http://schemas.openxmlformats.org/officeDocument/2006/relationships/hyperlink" Target="consultantplus://offline/ref=2AE59B4517CE3A76B00F03E0BA7D0B680C79061D07CF9145F9394C8ACA4FD2AFF5106F446671FF8571DAE9Y9MEN" TargetMode="External"/><Relationship Id="rId5" Type="http://schemas.openxmlformats.org/officeDocument/2006/relationships/hyperlink" Target="consultantplus://offline/ref=2AE59B4517CE3A76B00F03E0BA7D0B680C79061D07CF9145F9394C8ACA4FD2AFYFM5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E59B4517CE3A76B00F03E0BA7D0B680C79061D07CF9145F9394C8ACA4FD2AFF5106F446671FF8571DAEAY9M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E59B4517CE3A76B00F03E0BA7D0B680C79061D07CF9145F9394C8ACA4FD2AFF5106F446671FF8571DAEAY9M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1</cp:revision>
  <dcterms:created xsi:type="dcterms:W3CDTF">2017-12-31T13:12:00Z</dcterms:created>
  <dcterms:modified xsi:type="dcterms:W3CDTF">2017-12-31T13:15:00Z</dcterms:modified>
</cp:coreProperties>
</file>