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7805" w:rsidRPr="004D7805" w:rsidTr="004D78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7805" w:rsidRPr="004D7805" w:rsidRDefault="004D7805">
            <w:pPr>
              <w:pStyle w:val="ConsPlusNormal"/>
            </w:pPr>
            <w:r w:rsidRPr="004D7805">
              <w:t>28 ноября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7805" w:rsidRPr="004D7805" w:rsidRDefault="004D7805">
            <w:pPr>
              <w:pStyle w:val="ConsPlusNormal"/>
              <w:jc w:val="right"/>
            </w:pPr>
            <w:r w:rsidRPr="004D7805">
              <w:t>N 76-РЗ</w:t>
            </w:r>
          </w:p>
        </w:tc>
      </w:tr>
    </w:tbl>
    <w:p w:rsidR="004D7805" w:rsidRPr="004D7805" w:rsidRDefault="004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Title"/>
        <w:jc w:val="center"/>
      </w:pPr>
      <w:r w:rsidRPr="004D7805">
        <w:t>ЗАКОН</w:t>
      </w:r>
    </w:p>
    <w:p w:rsidR="004D7805" w:rsidRPr="004D7805" w:rsidRDefault="004D7805">
      <w:pPr>
        <w:pStyle w:val="ConsPlusTitle"/>
        <w:jc w:val="center"/>
      </w:pPr>
      <w:r w:rsidRPr="004D7805">
        <w:t>КАРАЧАЕВО-ЧЕРКЕССКОЙ РЕСПУБЛИКИ</w:t>
      </w:r>
    </w:p>
    <w:p w:rsidR="004D7805" w:rsidRPr="004D7805" w:rsidRDefault="004D7805">
      <w:pPr>
        <w:pStyle w:val="ConsPlusTitle"/>
        <w:jc w:val="center"/>
      </w:pPr>
    </w:p>
    <w:p w:rsidR="004D7805" w:rsidRPr="004D7805" w:rsidRDefault="004D7805">
      <w:pPr>
        <w:pStyle w:val="ConsPlusTitle"/>
        <w:jc w:val="center"/>
      </w:pPr>
      <w:r w:rsidRPr="004D7805">
        <w:t>О ТРАНСПОРТНОМ НАЛОГЕ НА ТЕРРИТОРИИ</w:t>
      </w:r>
    </w:p>
    <w:p w:rsidR="004D7805" w:rsidRPr="004D7805" w:rsidRDefault="004D7805">
      <w:pPr>
        <w:pStyle w:val="ConsPlusTitle"/>
        <w:jc w:val="center"/>
      </w:pPr>
      <w:r w:rsidRPr="004D7805">
        <w:t>КАРАЧАЕВО-ЧЕРКЕССКОЙ РЕСПУБЛИКИ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jc w:val="right"/>
      </w:pPr>
      <w:proofErr w:type="gramStart"/>
      <w:r w:rsidRPr="004D7805">
        <w:t>Принят</w:t>
      </w:r>
      <w:proofErr w:type="gramEnd"/>
    </w:p>
    <w:p w:rsidR="004D7805" w:rsidRPr="004D7805" w:rsidRDefault="004D7805">
      <w:pPr>
        <w:pStyle w:val="ConsPlusNormal"/>
        <w:jc w:val="right"/>
      </w:pPr>
      <w:r w:rsidRPr="004D7805">
        <w:t>Народным Собранием (Парламентом)</w:t>
      </w:r>
    </w:p>
    <w:p w:rsidR="004D7805" w:rsidRPr="004D7805" w:rsidRDefault="004D7805">
      <w:pPr>
        <w:pStyle w:val="ConsPlusNormal"/>
        <w:jc w:val="right"/>
      </w:pPr>
      <w:r w:rsidRPr="004D7805">
        <w:t>Карачаево-Черкесской Республики</w:t>
      </w:r>
    </w:p>
    <w:p w:rsidR="004D7805" w:rsidRPr="004D7805" w:rsidRDefault="004D7805">
      <w:pPr>
        <w:pStyle w:val="ConsPlusNormal"/>
        <w:jc w:val="right"/>
      </w:pPr>
      <w:r w:rsidRPr="004D7805">
        <w:t>25 ноября 2016 года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Настоящий Закон принят в соответствии с </w:t>
      </w:r>
      <w:hyperlink r:id="rId5" w:history="1">
        <w:r w:rsidRPr="004D7805">
          <w:t>главой 28 части второй</w:t>
        </w:r>
      </w:hyperlink>
      <w:r w:rsidRPr="004D7805">
        <w:t xml:space="preserve"> Налогового кодекса Российской Федерации с целью введения в действие на территории Карачаево-Черкесской Республики транспортного налога.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  <w:outlineLvl w:val="0"/>
      </w:pPr>
      <w:bookmarkStart w:id="0" w:name="P17"/>
      <w:bookmarkEnd w:id="0"/>
      <w:r w:rsidRPr="004D7805">
        <w:t>Статья 1. Налоговые ставки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</w:pPr>
      <w:r w:rsidRPr="004D7805">
        <w:t>Налоговые ставки устанавливаются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</w:t>
      </w:r>
      <w:proofErr w:type="gramStart"/>
      <w:r w:rsidRPr="004D7805">
        <w:t>дств в р</w:t>
      </w:r>
      <w:proofErr w:type="gramEnd"/>
      <w:r w:rsidRPr="004D7805">
        <w:t>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единицу транспортного средства в следующих размерах:</w:t>
      </w:r>
    </w:p>
    <w:p w:rsidR="004D7805" w:rsidRPr="004D7805" w:rsidRDefault="004D78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80"/>
        <w:gridCol w:w="1620"/>
      </w:tblGrid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 xml:space="preserve">N </w:t>
            </w:r>
            <w:proofErr w:type="gramStart"/>
            <w:r w:rsidRPr="004D7805">
              <w:t>п</w:t>
            </w:r>
            <w:proofErr w:type="gramEnd"/>
            <w:r w:rsidRPr="004D7805">
              <w:t>/п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Наименование объекта налогообложения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Налоговая ставка (в рублях)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2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3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Автомобили легковые с мощностью двигателя (с каждой лошадиной силы):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</w:pP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до 100 л. с. (до 73,55 кВт) включительно</w:t>
            </w:r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свыше 100 л. с. до 150 л. с. (свыше 73,55 кВт до</w:t>
            </w:r>
            <w:proofErr w:type="gramEnd"/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110,33 кВт) включительно</w:t>
            </w:r>
            <w:proofErr w:type="gramEnd"/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свыше 150 л. с. до 200 л. с. (свыше 110,33 кВт до</w:t>
            </w:r>
            <w:proofErr w:type="gramEnd"/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147,1 кВт) включительно</w:t>
            </w:r>
            <w:proofErr w:type="gramEnd"/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свыше 200 л. с. до 250 л. с. (свыше 147,1 кВт до</w:t>
            </w:r>
            <w:proofErr w:type="gramEnd"/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183,9 кВт) включительно</w:t>
            </w:r>
            <w:proofErr w:type="gramEnd"/>
          </w:p>
          <w:p w:rsidR="004D7805" w:rsidRPr="004D7805" w:rsidRDefault="004D7805">
            <w:pPr>
              <w:pStyle w:val="ConsPlusNormal"/>
            </w:pPr>
            <w:r w:rsidRPr="004D7805">
              <w:t>свыше 250 л. с. (свыше 183,9 кВт)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7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14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25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50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100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2.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Мотоциклы и мотороллеры с мощностью двигателя</w:t>
            </w:r>
          </w:p>
          <w:p w:rsidR="004D7805" w:rsidRPr="004D7805" w:rsidRDefault="004D7805">
            <w:pPr>
              <w:pStyle w:val="ConsPlusNormal"/>
            </w:pPr>
            <w:r w:rsidRPr="004D7805">
              <w:t>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t>до 20 л. с. (до 14,7 кВт) включительно</w:t>
            </w:r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свыше 20 л. с. до 35 л. с. (свыше 14,7 кВт до</w:t>
            </w:r>
            <w:proofErr w:type="gramEnd"/>
          </w:p>
          <w:p w:rsidR="004D7805" w:rsidRPr="004D7805" w:rsidRDefault="004D7805">
            <w:pPr>
              <w:pStyle w:val="ConsPlusNormal"/>
            </w:pPr>
            <w:proofErr w:type="gramStart"/>
            <w:r w:rsidRPr="004D7805">
              <w:t>25,74 кВт) включительно</w:t>
            </w:r>
            <w:proofErr w:type="gramEnd"/>
          </w:p>
          <w:p w:rsidR="004D7805" w:rsidRPr="004D7805" w:rsidRDefault="004D7805">
            <w:pPr>
              <w:pStyle w:val="ConsPlusNormal"/>
            </w:pPr>
            <w:r w:rsidRPr="004D7805">
              <w:t>свыше 35 л. с. (свыше 25,74 кВт) включительно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4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8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3.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Автобусы с мощностью двигателя 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до 200 </w:t>
            </w:r>
            <w:proofErr w:type="spellStart"/>
            <w:r w:rsidRPr="004D7805">
              <w:t>л.с</w:t>
            </w:r>
            <w:proofErr w:type="spellEnd"/>
            <w:r w:rsidRPr="004D7805">
              <w:t>. (до 147,1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200 </w:t>
            </w:r>
            <w:proofErr w:type="spellStart"/>
            <w:r w:rsidRPr="004D7805">
              <w:t>л.с</w:t>
            </w:r>
            <w:proofErr w:type="spellEnd"/>
            <w:r w:rsidRPr="004D7805">
              <w:t>. (свыше 147,1 кВт)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16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30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4.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Грузовые автомобили с мощностью двигателя 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lastRenderedPageBreak/>
              <w:t xml:space="preserve">до 100 </w:t>
            </w:r>
            <w:proofErr w:type="spellStart"/>
            <w:r w:rsidRPr="004D7805">
              <w:t>л.с</w:t>
            </w:r>
            <w:proofErr w:type="spellEnd"/>
            <w:r w:rsidRPr="004D7805">
              <w:t>. (до 73,55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100 </w:t>
            </w:r>
            <w:proofErr w:type="spellStart"/>
            <w:r w:rsidRPr="004D7805">
              <w:t>л.с</w:t>
            </w:r>
            <w:proofErr w:type="spellEnd"/>
            <w:r w:rsidRPr="004D7805">
              <w:t xml:space="preserve">. до 150 </w:t>
            </w:r>
            <w:proofErr w:type="spellStart"/>
            <w:r w:rsidRPr="004D7805">
              <w:t>л.с</w:t>
            </w:r>
            <w:proofErr w:type="spellEnd"/>
            <w:r w:rsidRPr="004D7805">
              <w:t>.</w:t>
            </w:r>
          </w:p>
          <w:p w:rsidR="004D7805" w:rsidRPr="004D7805" w:rsidRDefault="004D7805">
            <w:pPr>
              <w:pStyle w:val="ConsPlusNormal"/>
            </w:pPr>
            <w:r w:rsidRPr="004D7805">
              <w:t>(свыше 73,55 кВт до 110,33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150 </w:t>
            </w:r>
            <w:proofErr w:type="spellStart"/>
            <w:r w:rsidRPr="004D7805">
              <w:t>л.с</w:t>
            </w:r>
            <w:proofErr w:type="spellEnd"/>
            <w:r w:rsidRPr="004D7805">
              <w:t xml:space="preserve">. до 200 </w:t>
            </w:r>
            <w:proofErr w:type="spellStart"/>
            <w:r w:rsidRPr="004D7805">
              <w:t>л.с</w:t>
            </w:r>
            <w:proofErr w:type="spellEnd"/>
            <w:r w:rsidRPr="004D7805">
              <w:t>.</w:t>
            </w:r>
          </w:p>
          <w:p w:rsidR="004D7805" w:rsidRPr="004D7805" w:rsidRDefault="004D7805">
            <w:pPr>
              <w:pStyle w:val="ConsPlusNormal"/>
            </w:pPr>
            <w:r w:rsidRPr="004D7805">
              <w:t>(свыше 110,33 кВт до 147,1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200 </w:t>
            </w:r>
            <w:proofErr w:type="spellStart"/>
            <w:r w:rsidRPr="004D7805">
              <w:t>л.с</w:t>
            </w:r>
            <w:proofErr w:type="spellEnd"/>
            <w:r w:rsidRPr="004D7805">
              <w:t xml:space="preserve">. до 250 </w:t>
            </w:r>
            <w:proofErr w:type="spellStart"/>
            <w:r w:rsidRPr="004D7805">
              <w:t>л.с</w:t>
            </w:r>
            <w:proofErr w:type="spellEnd"/>
            <w:r w:rsidRPr="004D7805">
              <w:t>.</w:t>
            </w:r>
          </w:p>
          <w:p w:rsidR="004D7805" w:rsidRPr="004D7805" w:rsidRDefault="004D7805">
            <w:pPr>
              <w:pStyle w:val="ConsPlusNormal"/>
            </w:pPr>
            <w:r w:rsidRPr="004D7805">
              <w:t>(свыше 147,1 кВт до 183,9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250 </w:t>
            </w:r>
            <w:proofErr w:type="spellStart"/>
            <w:r w:rsidRPr="004D7805">
              <w:t>л.с</w:t>
            </w:r>
            <w:proofErr w:type="spellEnd"/>
            <w:r w:rsidRPr="004D7805">
              <w:t>. (свыше 183,9 кВт)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lastRenderedPageBreak/>
              <w:t>10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16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20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30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50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lastRenderedPageBreak/>
              <w:t>5.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15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6.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Снегоходы, мотосани с мощностью двигателя 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до 50 </w:t>
            </w:r>
            <w:proofErr w:type="spellStart"/>
            <w:r w:rsidRPr="004D7805">
              <w:t>л.с</w:t>
            </w:r>
            <w:proofErr w:type="spellEnd"/>
            <w:r w:rsidRPr="004D7805">
              <w:t>. (до 36,77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50 </w:t>
            </w:r>
            <w:proofErr w:type="spellStart"/>
            <w:r w:rsidRPr="004D7805">
              <w:t>л.с</w:t>
            </w:r>
            <w:proofErr w:type="spellEnd"/>
            <w:r w:rsidRPr="004D7805">
              <w:t>. (свыше 36,77 кВт)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10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7.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Катера, моторные лодки и другие водные транспортные средства с мощностью двигателя 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до 100 </w:t>
            </w:r>
            <w:proofErr w:type="spellStart"/>
            <w:r w:rsidRPr="004D7805">
              <w:t>л.с</w:t>
            </w:r>
            <w:proofErr w:type="spellEnd"/>
            <w:r w:rsidRPr="004D7805">
              <w:t>. (до 73,55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100 </w:t>
            </w:r>
            <w:proofErr w:type="spellStart"/>
            <w:r w:rsidRPr="004D7805">
              <w:t>л.с</w:t>
            </w:r>
            <w:proofErr w:type="spellEnd"/>
            <w:r w:rsidRPr="004D7805">
              <w:t xml:space="preserve">. до 300 </w:t>
            </w:r>
            <w:proofErr w:type="spellStart"/>
            <w:r w:rsidRPr="004D7805">
              <w:t>л.с</w:t>
            </w:r>
            <w:proofErr w:type="spellEnd"/>
            <w:r w:rsidRPr="004D7805">
              <w:t>.</w:t>
            </w:r>
          </w:p>
          <w:p w:rsidR="004D7805" w:rsidRPr="004D7805" w:rsidRDefault="004D7805">
            <w:pPr>
              <w:pStyle w:val="ConsPlusNormal"/>
            </w:pPr>
            <w:r w:rsidRPr="004D7805">
              <w:t>(свыше 73,55 кВт до 220,65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300 </w:t>
            </w:r>
            <w:proofErr w:type="spellStart"/>
            <w:r w:rsidRPr="004D7805">
              <w:t>л.с</w:t>
            </w:r>
            <w:proofErr w:type="spellEnd"/>
            <w:r w:rsidRPr="004D7805">
              <w:t>. (свыше 220,65 кВт)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10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20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100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8.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Яхты и другие парусно-моторные суда с мощностью двигателя 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до 100 </w:t>
            </w:r>
            <w:proofErr w:type="spellStart"/>
            <w:r w:rsidRPr="004D7805">
              <w:t>л.с</w:t>
            </w:r>
            <w:proofErr w:type="spellEnd"/>
            <w:r w:rsidRPr="004D7805">
              <w:t>. (до 73,55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100 </w:t>
            </w:r>
            <w:proofErr w:type="spellStart"/>
            <w:r w:rsidRPr="004D7805">
              <w:t>л.с</w:t>
            </w:r>
            <w:proofErr w:type="spellEnd"/>
            <w:r w:rsidRPr="004D7805">
              <w:t xml:space="preserve">. до 300 </w:t>
            </w:r>
            <w:proofErr w:type="spellStart"/>
            <w:r w:rsidRPr="004D7805">
              <w:t>л.с</w:t>
            </w:r>
            <w:proofErr w:type="spellEnd"/>
            <w:r w:rsidRPr="004D7805">
              <w:t>.</w:t>
            </w:r>
          </w:p>
          <w:p w:rsidR="004D7805" w:rsidRPr="004D7805" w:rsidRDefault="004D7805">
            <w:pPr>
              <w:pStyle w:val="ConsPlusNormal"/>
            </w:pPr>
            <w:r w:rsidRPr="004D7805">
              <w:t>(свыше 73,55 кВт до 220,65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 xml:space="preserve">свыше 300 </w:t>
            </w:r>
            <w:proofErr w:type="spellStart"/>
            <w:r w:rsidRPr="004D7805">
              <w:t>л.с</w:t>
            </w:r>
            <w:proofErr w:type="spellEnd"/>
            <w:r w:rsidRPr="004D7805">
              <w:t>. (свыше 220,65 кВт)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20</w:t>
            </w: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40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200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9.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Гидроциклы с мощностью двигателя</w:t>
            </w:r>
          </w:p>
          <w:p w:rsidR="004D7805" w:rsidRPr="004D7805" w:rsidRDefault="004D7805">
            <w:pPr>
              <w:pStyle w:val="ConsPlusNormal"/>
            </w:pPr>
            <w:r w:rsidRPr="004D7805">
              <w:t>(с каждой лошадиной силы):</w:t>
            </w:r>
          </w:p>
          <w:p w:rsidR="004D7805" w:rsidRPr="004D7805" w:rsidRDefault="004D7805">
            <w:pPr>
              <w:pStyle w:val="ConsPlusNormal"/>
            </w:pPr>
            <w:r w:rsidRPr="004D7805">
              <w:t>до 100 л. с. (до 73,55 кВт) включительно</w:t>
            </w:r>
          </w:p>
          <w:p w:rsidR="004D7805" w:rsidRPr="004D7805" w:rsidRDefault="004D7805">
            <w:pPr>
              <w:pStyle w:val="ConsPlusNormal"/>
            </w:pPr>
            <w:r w:rsidRPr="004D7805">
              <w:t>свыше 100 л. с. (свыше 73,55 кВт) включительно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</w:pP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50</w:t>
            </w:r>
          </w:p>
          <w:p w:rsidR="004D7805" w:rsidRPr="004D7805" w:rsidRDefault="004D7805">
            <w:pPr>
              <w:pStyle w:val="ConsPlusNormal"/>
              <w:jc w:val="center"/>
            </w:pPr>
            <w:r w:rsidRPr="004D7805">
              <w:t>115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10.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40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11.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50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12.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Самолеты, имеющие реактивные двигатели (с каждого килограмма силы тяги)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40</w:t>
            </w:r>
          </w:p>
        </w:tc>
      </w:tr>
      <w:tr w:rsidR="004D7805" w:rsidRPr="004D7805">
        <w:tc>
          <w:tcPr>
            <w:tcW w:w="624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13.</w:t>
            </w:r>
          </w:p>
        </w:tc>
        <w:tc>
          <w:tcPr>
            <w:tcW w:w="7080" w:type="dxa"/>
          </w:tcPr>
          <w:p w:rsidR="004D7805" w:rsidRPr="004D7805" w:rsidRDefault="004D7805">
            <w:pPr>
              <w:pStyle w:val="ConsPlusNormal"/>
            </w:pPr>
            <w:r w:rsidRPr="004D7805"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620" w:type="dxa"/>
          </w:tcPr>
          <w:p w:rsidR="004D7805" w:rsidRPr="004D7805" w:rsidRDefault="004D7805">
            <w:pPr>
              <w:pStyle w:val="ConsPlusNormal"/>
              <w:jc w:val="center"/>
            </w:pPr>
            <w:r w:rsidRPr="004D7805">
              <w:t>400</w:t>
            </w:r>
          </w:p>
        </w:tc>
      </w:tr>
    </w:tbl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  <w:outlineLvl w:val="0"/>
      </w:pPr>
      <w:r w:rsidRPr="004D7805">
        <w:t>Статья 2. Порядок и сроки уплаты налога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</w:pPr>
      <w:r w:rsidRPr="004D7805">
        <w:t>1. Отчетными периодами для налогоплательщиков - организаций устанавливаются первый квартал, второй квартал и третий квартал.</w:t>
      </w:r>
    </w:p>
    <w:p w:rsidR="004D7805" w:rsidRPr="004D7805" w:rsidRDefault="004D7805">
      <w:pPr>
        <w:pStyle w:val="ConsPlusNormal"/>
        <w:ind w:firstLine="540"/>
        <w:jc w:val="both"/>
      </w:pPr>
      <w:proofErr w:type="gramStart"/>
      <w:r w:rsidRPr="004D7805">
        <w:t xml:space="preserve">Налогоплательщики-организации, по истечении каждого отчетного периода самостоятельно исчисляют суммы авансовых платежей по налогу в размере одной четвертой произведения соответствующей налоговой базы и налоговой ставки с учетом периода владения транспортным средством, в соответствии с </w:t>
      </w:r>
      <w:hyperlink r:id="rId6" w:history="1">
        <w:r w:rsidRPr="004D7805">
          <w:t>пунктом 3 статьи 362</w:t>
        </w:r>
      </w:hyperlink>
      <w:r w:rsidRPr="004D7805">
        <w:t xml:space="preserve"> Налогового кодекса Российской Федерации, а также с учетом повышающего коэффициента, указанного в </w:t>
      </w:r>
      <w:hyperlink w:anchor="P154" w:history="1">
        <w:r w:rsidRPr="004D7805">
          <w:t>части 8</w:t>
        </w:r>
      </w:hyperlink>
      <w:r w:rsidRPr="004D7805">
        <w:t xml:space="preserve"> настоящей статьи.</w:t>
      </w:r>
      <w:proofErr w:type="gramEnd"/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2. </w:t>
      </w:r>
      <w:proofErr w:type="gramStart"/>
      <w:r w:rsidRPr="004D7805">
        <w:t xml:space="preserve">Сумма налога, подлежащая уплате в бюджет налогоплательщиками-организациями, по </w:t>
      </w:r>
      <w:r w:rsidRPr="004D7805">
        <w:lastRenderedPageBreak/>
        <w:t xml:space="preserve">итогам налогового периода, исчисляется в отношении каждого транспортного средства как произведение соответствующей налоговой базы и налоговой ставки с учетом периода владения транспортным средством, в соответствии с </w:t>
      </w:r>
      <w:hyperlink r:id="rId7" w:history="1">
        <w:r w:rsidRPr="004D7805">
          <w:t>пунктом 3 статьи 362</w:t>
        </w:r>
      </w:hyperlink>
      <w:r w:rsidRPr="004D7805">
        <w:t xml:space="preserve"> Налогового кодекса Российской Федерации, а также с учетом повышающего коэффициента, указанного в </w:t>
      </w:r>
      <w:hyperlink w:anchor="P154" w:history="1">
        <w:r w:rsidRPr="004D7805">
          <w:t>части 8</w:t>
        </w:r>
      </w:hyperlink>
      <w:r w:rsidRPr="004D7805">
        <w:t xml:space="preserve"> настоящей статьи и определяется как разница между исчисленной</w:t>
      </w:r>
      <w:proofErr w:type="gramEnd"/>
      <w:r w:rsidRPr="004D7805">
        <w:t xml:space="preserve"> суммой налога и суммами авансовых платежей по налогу, подлежащих уплате в течение налогового периода.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3. Налогоплательщики - организации, по истечении налогового периода представляют в налоговый орган по месту нахождения транспортных средств налоговую декларацию по налогу не позднее 1 февраля года, следующего за истекшим налоговым периодом.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4. Налогоплательщики - организации, уплачивают налог не позднее 15 февраля года, следующего за истекшим налоговым периодом, а авансовые платежи по налогу - не позднее последнего числа месяца, следующего за истекшим отчетным периодом.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5. </w:t>
      </w:r>
      <w:proofErr w:type="gramStart"/>
      <w:r w:rsidRPr="004D7805">
        <w:t xml:space="preserve">Налогоплательщики, в соответствии со </w:t>
      </w:r>
      <w:hyperlink r:id="rId8" w:history="1">
        <w:r w:rsidRPr="004D7805">
          <w:t>статьей 83</w:t>
        </w:r>
      </w:hyperlink>
      <w:r w:rsidRPr="004D7805">
        <w:t xml:space="preserve"> Налогового кодекса Российской Федерации, отнесенные к категории крупнейших, представляют все налоговые декларации в налоговый орган по месту учета в качестве крупнейших налогоплательщиков по установленным форматам в электронном виде, если иной порядок представления информации, отнесенной к государственной тайне, не предусмотрен законодательством Российской Федерации.</w:t>
      </w:r>
      <w:proofErr w:type="gramEnd"/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6. </w:t>
      </w:r>
      <w:proofErr w:type="gramStart"/>
      <w:r w:rsidRPr="004D7805">
        <w:t>Налогоплательщикам-физическим</w:t>
      </w:r>
      <w:proofErr w:type="gramEnd"/>
      <w:r w:rsidRPr="004D7805">
        <w:t xml:space="preserve"> лицам, сумма налога исчисляется налоговым органом по итогам налогового периода в году, следующем за истекшим налоговым периодом, исходя из ставки налога, налоговой базы и с учетом налоговых льгот, а также с учетом повышающего коэффициента, указанного в </w:t>
      </w:r>
      <w:hyperlink w:anchor="P154" w:history="1">
        <w:r w:rsidRPr="004D7805">
          <w:t>части 8</w:t>
        </w:r>
      </w:hyperlink>
      <w:r w:rsidRPr="004D7805">
        <w:t xml:space="preserve"> настоящей статьи.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7. Налог подлежит уплате налогоплательщиками - физическими лицами в срок, установленный </w:t>
      </w:r>
      <w:hyperlink r:id="rId9" w:history="1">
        <w:r w:rsidRPr="004D7805">
          <w:t>абзацем третьим пункта 1 статьи 363</w:t>
        </w:r>
      </w:hyperlink>
      <w:r w:rsidRPr="004D7805">
        <w:t xml:space="preserve"> Налогового кодекса Российской Федерации.</w:t>
      </w:r>
    </w:p>
    <w:p w:rsidR="004D7805" w:rsidRPr="004D7805" w:rsidRDefault="004D7805">
      <w:pPr>
        <w:pStyle w:val="ConsPlusNormal"/>
        <w:ind w:firstLine="540"/>
        <w:jc w:val="both"/>
      </w:pPr>
      <w:bookmarkStart w:id="1" w:name="P154"/>
      <w:bookmarkEnd w:id="1"/>
      <w:r w:rsidRPr="004D7805">
        <w:t xml:space="preserve">8. В соответствии со </w:t>
      </w:r>
      <w:hyperlink r:id="rId10" w:history="1">
        <w:r w:rsidRPr="004D7805">
          <w:t>статьей 362</w:t>
        </w:r>
      </w:hyperlink>
      <w:r w:rsidRPr="004D7805">
        <w:t xml:space="preserve"> Налогового кодекса Российской Федерации исчисление суммы налога производится с учетом повышающего коэффициента: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1) 1,1 - в отношении легковых автомобилей средней стоимостью от 3 миллионов до 5 миллионов рублей включительно, с года выпуска которых прошло от 2 до 3 лет;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2) 1,3 - в отношении легковых автомобилей средней стоимостью от 3 миллионов до 5 миллионов рублей включительно, с года выпуска которых прошло от 1 года до 2 лет;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3) 1,5 - в отношении легковых автомобилей средней стоимостью от 3 миллионов до 5 миллионов рублей включительно, с года выпуска которых прошло не более 1 года;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4) 2 - в отношении легковых автомобилей средней стоимостью от 5 миллионов до 10 миллионов рублей включительно, с года выпуска которых прошло не более 5 лет;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5) 3 - в отношении легковых автомобилей средней стоимостью от 10 миллионов до 15 миллионов рублей включительно, с года выпуска которых прошло не более 10 лет;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6) 3 - в отношении легковых автомобилей средней стоимостью от 15 миллионов рублей, с года выпуска которых прошло не более 20 лет.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9. Исчисление сроков, указанных в </w:t>
      </w:r>
      <w:hyperlink w:anchor="P154" w:history="1">
        <w:r w:rsidRPr="004D7805">
          <w:t>части 8</w:t>
        </w:r>
      </w:hyperlink>
      <w:r w:rsidRPr="004D7805">
        <w:t xml:space="preserve"> настоящей статьи, начинается с года выпуска соответствующего легкового автомобиля.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  <w:outlineLvl w:val="0"/>
      </w:pPr>
      <w:r w:rsidRPr="004D7805">
        <w:t>Статья 3. Налоговые льготы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1. Пенсионеры, имеющие в собственности мотоциклы, мотороллеры и </w:t>
      </w:r>
      <w:proofErr w:type="gramStart"/>
      <w:r w:rsidRPr="004D7805">
        <w:t>автомобили</w:t>
      </w:r>
      <w:proofErr w:type="gramEnd"/>
      <w:r w:rsidRPr="004D7805">
        <w:t xml:space="preserve"> легковые с мощностью двигателя до 250 лошадиных сил включительно, уплачивают налог в размере 20 процентов от ставки, установленной </w:t>
      </w:r>
      <w:hyperlink w:anchor="P17" w:history="1">
        <w:r w:rsidRPr="004D7805">
          <w:t>статьей 1</w:t>
        </w:r>
      </w:hyperlink>
      <w:r w:rsidRPr="004D7805">
        <w:t xml:space="preserve"> настоящего Закона.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2. Освобождаются от уплаты транспортного налога: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1) граждане: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а) подвергшиеся радиации вследствие Чернобыльской катастрофы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б) Герои Советского Союза;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в) Герои Российской Федерации;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г) награжденные орденами Славы трех степеней;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д) ветераны и инвалиды Великой Отечественной </w:t>
      </w:r>
      <w:proofErr w:type="gramStart"/>
      <w:r w:rsidRPr="004D7805">
        <w:t>войны</w:t>
      </w:r>
      <w:proofErr w:type="gramEnd"/>
      <w:r w:rsidRPr="004D7805">
        <w:t xml:space="preserve"> и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е) инвалиды всех категорий, имеющие в собственности мотоциклы, мотороллеры и </w:t>
      </w:r>
      <w:r w:rsidRPr="004D7805">
        <w:lastRenderedPageBreak/>
        <w:t>автомобили легковые, а также грузовые автомобили с мощностью двигателя до 300 лошадиных сил включительно, другие самоходные транспортные средства, машины и механизмы на пневматическом и гусеничном ходу;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2) общественные организации инвалидов, использующие транспортные средства для осуществления своей уставной деятельности.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3. Льготы, установленные </w:t>
      </w:r>
      <w:hyperlink w:anchor="P181" w:history="1">
        <w:r w:rsidRPr="004D7805">
          <w:t>частью 1 и пунктом 1 части 2</w:t>
        </w:r>
      </w:hyperlink>
      <w:r w:rsidRPr="004D7805">
        <w:t xml:space="preserve"> настоящей статьи, применяются в отношении одного имеющегося в собственности налогоплательщика транспортного средства по его заявлению. В случае отсутствия заявления льгота применяется в отношении транспортного средства с наибольшей мощностью.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  <w:outlineLvl w:val="0"/>
      </w:pPr>
      <w:r w:rsidRPr="004D7805">
        <w:t>Статья 4. Заключительные положения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ind w:firstLine="540"/>
        <w:jc w:val="both"/>
      </w:pPr>
      <w:r w:rsidRPr="004D7805">
        <w:t>1. Настоящий Закон вступает в силу с 1 января 2017 года, но не ранее чем по истечении одного месяца со дня его официального опубликования.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>2. Со дня вступления в силу настоящего Закона признать утратившими силу:</w:t>
      </w:r>
    </w:p>
    <w:p w:rsidR="004D7805" w:rsidRPr="004D7805" w:rsidRDefault="004D7805">
      <w:pPr>
        <w:pStyle w:val="ConsPlusNormal"/>
        <w:ind w:firstLine="540"/>
        <w:jc w:val="both"/>
      </w:pPr>
      <w:bookmarkStart w:id="2" w:name="P181"/>
      <w:bookmarkEnd w:id="2"/>
      <w:r w:rsidRPr="004D7805">
        <w:t xml:space="preserve">1) </w:t>
      </w:r>
      <w:hyperlink r:id="rId11" w:history="1">
        <w:r w:rsidRPr="004D7805">
          <w:t>Закон</w:t>
        </w:r>
      </w:hyperlink>
      <w:r w:rsidRPr="004D7805">
        <w:t xml:space="preserve"> Карачаево-Черкесской Республики от 27 ноября 2002 г. N 46-РЗ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2) </w:t>
      </w:r>
      <w:hyperlink r:id="rId12" w:history="1">
        <w:r w:rsidRPr="004D7805">
          <w:t>Закон</w:t>
        </w:r>
      </w:hyperlink>
      <w:r w:rsidRPr="004D7805">
        <w:t xml:space="preserve"> Карачаево-Черкесской Республики от 21 марта 2003 г. N 13-РЗ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3) </w:t>
      </w:r>
      <w:hyperlink r:id="rId13" w:history="1">
        <w:r w:rsidRPr="004D7805">
          <w:t>Закон</w:t>
        </w:r>
      </w:hyperlink>
      <w:r w:rsidRPr="004D7805">
        <w:t xml:space="preserve"> Карачаево-Черкесской Республики от 15 октября 2003 г. N 48-РЗ "О внесении изменения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4) </w:t>
      </w:r>
      <w:hyperlink r:id="rId14" w:history="1">
        <w:r w:rsidRPr="004D7805">
          <w:t>Закон</w:t>
        </w:r>
      </w:hyperlink>
      <w:r w:rsidRPr="004D7805">
        <w:t xml:space="preserve"> Карачаево-Черкесской Республики от 21 июня 2004 г. N 14-РЗ "О внесении дополнения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5) </w:t>
      </w:r>
      <w:hyperlink r:id="rId15" w:history="1">
        <w:r w:rsidRPr="004D7805">
          <w:t>Закон</w:t>
        </w:r>
      </w:hyperlink>
      <w:r w:rsidRPr="004D7805">
        <w:t xml:space="preserve"> Карачаево-Черкесской Республики от 15 ноября 2006 г. N 94-РЗ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6) </w:t>
      </w:r>
      <w:hyperlink r:id="rId16" w:history="1">
        <w:r w:rsidRPr="004D7805">
          <w:t>Закон</w:t>
        </w:r>
      </w:hyperlink>
      <w:r w:rsidRPr="004D7805">
        <w:t xml:space="preserve"> Карачаево-Черкесской Республики от 19 июля 2007 г. N 53-РЗ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7) </w:t>
      </w:r>
      <w:hyperlink r:id="rId17" w:history="1">
        <w:r w:rsidRPr="004D7805">
          <w:t>Закон</w:t>
        </w:r>
      </w:hyperlink>
      <w:r w:rsidRPr="004D7805">
        <w:t xml:space="preserve"> Карачаево-Черкесской Республики от 12 ноября 2007 г. N 71-РЗ "О внесении изменения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8) </w:t>
      </w:r>
      <w:hyperlink r:id="rId18" w:history="1">
        <w:r w:rsidRPr="004D7805">
          <w:t>Закон</w:t>
        </w:r>
      </w:hyperlink>
      <w:r w:rsidRPr="004D7805">
        <w:t xml:space="preserve"> Карачаево-Черкесской Республики от 14 ноября 2008 г. N 71-РЗ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9) </w:t>
      </w:r>
      <w:hyperlink r:id="rId19" w:history="1">
        <w:r w:rsidRPr="004D7805">
          <w:t>Закон</w:t>
        </w:r>
      </w:hyperlink>
      <w:r w:rsidRPr="004D7805">
        <w:t xml:space="preserve"> Карачаево-Черкесской Республики от 26 ноября 2008 г. N 75-РЗ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10) </w:t>
      </w:r>
      <w:hyperlink r:id="rId20" w:history="1">
        <w:r w:rsidRPr="004D7805">
          <w:t>Закон</w:t>
        </w:r>
      </w:hyperlink>
      <w:r w:rsidRPr="004D7805">
        <w:t xml:space="preserve"> Карачаево-Черкесской Республики от 13 марта 2009 г. N 9-РЗ "О внесении изменения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11) </w:t>
      </w:r>
      <w:hyperlink r:id="rId21" w:history="1">
        <w:r w:rsidRPr="004D7805">
          <w:t>Закон</w:t>
        </w:r>
      </w:hyperlink>
      <w:r w:rsidRPr="004D7805">
        <w:t xml:space="preserve"> Карачаево-Черкесской Республики от 25 ноября 2009 г. N 69-РЗ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12) </w:t>
      </w:r>
      <w:hyperlink r:id="rId22" w:history="1">
        <w:r w:rsidRPr="004D7805">
          <w:t>Закон</w:t>
        </w:r>
      </w:hyperlink>
      <w:r w:rsidRPr="004D7805">
        <w:t xml:space="preserve"> Карачаево-Черкесской Республики от 18 ноября 2010 г. N 66-РЗ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13) </w:t>
      </w:r>
      <w:hyperlink r:id="rId23" w:history="1">
        <w:r w:rsidRPr="004D7805">
          <w:t>Закон</w:t>
        </w:r>
      </w:hyperlink>
      <w:r w:rsidRPr="004D7805">
        <w:t xml:space="preserve"> Карачаево-Черкесской Республики от 15 ноября 2012 г. N 82-РЗ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14) </w:t>
      </w:r>
      <w:hyperlink r:id="rId24" w:history="1">
        <w:r w:rsidRPr="004D7805">
          <w:t>Закон</w:t>
        </w:r>
      </w:hyperlink>
      <w:r w:rsidRPr="004D7805">
        <w:t xml:space="preserve"> Карачаево-Черкесской Республики от 27 ноября 2013 г. N 69-РЗ "О внесении изменений в Закон Карачаево-Черкесской Республики "О транспортном налоге";</w:t>
      </w:r>
    </w:p>
    <w:p w:rsidR="004D7805" w:rsidRPr="004D7805" w:rsidRDefault="004D7805">
      <w:pPr>
        <w:pStyle w:val="ConsPlusNormal"/>
        <w:ind w:firstLine="540"/>
        <w:jc w:val="both"/>
      </w:pPr>
      <w:r w:rsidRPr="004D7805">
        <w:t xml:space="preserve">15) </w:t>
      </w:r>
      <w:hyperlink r:id="rId25" w:history="1">
        <w:r w:rsidRPr="004D7805">
          <w:t>Закон</w:t>
        </w:r>
      </w:hyperlink>
      <w:r w:rsidRPr="004D7805">
        <w:t xml:space="preserve"> Карачаево-Черкесской Республики от 24 ноября 2014 г. N 68-РЗ "О внесении изменений в Закон Карачаево-Черкесской Республики "О транспортном налоге".</w:t>
      </w:r>
    </w:p>
    <w:p w:rsidR="004D7805" w:rsidRPr="004D7805" w:rsidRDefault="004D7805">
      <w:pPr>
        <w:pStyle w:val="ConsPlusNormal"/>
        <w:jc w:val="both"/>
      </w:pPr>
      <w:bookmarkStart w:id="3" w:name="_GoBack"/>
      <w:bookmarkEnd w:id="3"/>
    </w:p>
    <w:p w:rsidR="004D7805" w:rsidRPr="004D7805" w:rsidRDefault="004D7805">
      <w:pPr>
        <w:pStyle w:val="ConsPlusNormal"/>
        <w:jc w:val="right"/>
      </w:pPr>
      <w:r w:rsidRPr="004D7805">
        <w:t>Глава</w:t>
      </w:r>
    </w:p>
    <w:p w:rsidR="004D7805" w:rsidRPr="004D7805" w:rsidRDefault="004D7805">
      <w:pPr>
        <w:pStyle w:val="ConsPlusNormal"/>
        <w:jc w:val="right"/>
      </w:pPr>
      <w:r w:rsidRPr="004D7805">
        <w:t>Карачаево-Черкесской Республики</w:t>
      </w:r>
    </w:p>
    <w:p w:rsidR="004D7805" w:rsidRPr="004D7805" w:rsidRDefault="004D7805">
      <w:pPr>
        <w:pStyle w:val="ConsPlusNormal"/>
        <w:jc w:val="right"/>
      </w:pPr>
      <w:r w:rsidRPr="004D7805">
        <w:t>Р.Б.ТЕМРЕЗОВ</w:t>
      </w:r>
    </w:p>
    <w:p w:rsidR="004D7805" w:rsidRPr="004D7805" w:rsidRDefault="004D7805">
      <w:pPr>
        <w:pStyle w:val="ConsPlusNormal"/>
        <w:jc w:val="both"/>
      </w:pPr>
      <w:r w:rsidRPr="004D7805">
        <w:t>город Черкесск</w:t>
      </w:r>
    </w:p>
    <w:p w:rsidR="004D7805" w:rsidRPr="004D7805" w:rsidRDefault="004D7805">
      <w:pPr>
        <w:pStyle w:val="ConsPlusNormal"/>
        <w:jc w:val="both"/>
      </w:pPr>
      <w:r w:rsidRPr="004D7805">
        <w:t>28 ноября 2016 года</w:t>
      </w:r>
    </w:p>
    <w:p w:rsidR="004D7805" w:rsidRPr="004D7805" w:rsidRDefault="004D7805">
      <w:pPr>
        <w:pStyle w:val="ConsPlusNormal"/>
        <w:jc w:val="both"/>
      </w:pPr>
      <w:r w:rsidRPr="004D7805">
        <w:t>N 76-РЗ</w:t>
      </w: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jc w:val="both"/>
      </w:pPr>
    </w:p>
    <w:p w:rsidR="004D7805" w:rsidRPr="004D7805" w:rsidRDefault="004D78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FCA" w:rsidRPr="004D7805" w:rsidRDefault="000A2FCA"/>
    <w:sectPr w:rsidR="000A2FCA" w:rsidRPr="004D7805" w:rsidSect="004D780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05"/>
    <w:rsid w:val="000A2FCA"/>
    <w:rsid w:val="004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8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068D47DEACE11EFB970E4D1BF6B5A73B8044285C74875BFA029B4D2457AB3637EF3A355D163201r6f2H" TargetMode="External"/><Relationship Id="rId13" Type="http://schemas.openxmlformats.org/officeDocument/2006/relationships/hyperlink" Target="consultantplus://offline/ref=4C068D47DEACE11EFB9710400D9AE9AD3B8B1A2D5B70880CAD00CA182A52A3r6f6H" TargetMode="External"/><Relationship Id="rId18" Type="http://schemas.openxmlformats.org/officeDocument/2006/relationships/hyperlink" Target="consultantplus://offline/ref=4C068D47DEACE11EFB9710400D9AE9AD3B8B1A2D5B708F04AD00CA182A52A3r6f6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068D47DEACE11EFB9710400D9AE9AD3B8B1A2D5B798409AD00CA182A52A3r6f6H" TargetMode="External"/><Relationship Id="rId7" Type="http://schemas.openxmlformats.org/officeDocument/2006/relationships/hyperlink" Target="consultantplus://offline/ref=4C068D47DEACE11EFB970E4D1BF6B5A738894C295C71875BFA029B4D2457AB3637EF3A355F1339r0f8H" TargetMode="External"/><Relationship Id="rId12" Type="http://schemas.openxmlformats.org/officeDocument/2006/relationships/hyperlink" Target="consultantplus://offline/ref=4C068D47DEACE11EFB9710400D9AE9AD3B8B1A2D5D708B06F00AC2412650rAf4H" TargetMode="External"/><Relationship Id="rId17" Type="http://schemas.openxmlformats.org/officeDocument/2006/relationships/hyperlink" Target="consultantplus://offline/ref=4C068D47DEACE11EFB9710400D9AE9AD3B8B1A2D5A728C0BAD00CA182A52A3r6f6H" TargetMode="External"/><Relationship Id="rId25" Type="http://schemas.openxmlformats.org/officeDocument/2006/relationships/hyperlink" Target="consultantplus://offline/ref=4C068D47DEACE11EFB9710400D9AE9AD3B8B1A2D59758B05A35DC010735EA161r7f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068D47DEACE11EFB9710400D9AE9AD3B8B1A2D59798E0AAD00CA182A52A3r6f6H" TargetMode="External"/><Relationship Id="rId20" Type="http://schemas.openxmlformats.org/officeDocument/2006/relationships/hyperlink" Target="consultantplus://offline/ref=4C068D47DEACE11EFB9710400D9AE9AD3B8B1A2D5B738E04AD00CA182A52A3r6f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068D47DEACE11EFB970E4D1BF6B5A738894C295C71875BFA029B4D2457AB3637EF3A355F1339r0f8H" TargetMode="External"/><Relationship Id="rId11" Type="http://schemas.openxmlformats.org/officeDocument/2006/relationships/hyperlink" Target="consultantplus://offline/ref=4C068D47DEACE11EFB9710400D9AE9AD3B8B1A2D59758B05A05DC010735EA161r7f0H" TargetMode="External"/><Relationship Id="rId24" Type="http://schemas.openxmlformats.org/officeDocument/2006/relationships/hyperlink" Target="consultantplus://offline/ref=4C068D47DEACE11EFB9710400D9AE9AD3B8B1A2D59728405A65DC010735EA161r7f0H" TargetMode="External"/><Relationship Id="rId5" Type="http://schemas.openxmlformats.org/officeDocument/2006/relationships/hyperlink" Target="consultantplus://offline/ref=4C068D47DEACE11EFB970E4D1BF6B5A738894C295C71875BFA029B4D2457AB3637EF3A355D143801r6fBH" TargetMode="External"/><Relationship Id="rId15" Type="http://schemas.openxmlformats.org/officeDocument/2006/relationships/hyperlink" Target="consultantplus://offline/ref=4C068D47DEACE11EFB9710400D9AE9AD3B8B1A2D59758C04AD00CA182A52A3r6f6H" TargetMode="External"/><Relationship Id="rId23" Type="http://schemas.openxmlformats.org/officeDocument/2006/relationships/hyperlink" Target="consultantplus://offline/ref=4C068D47DEACE11EFB9710400D9AE9AD3B8B1A2D51738909AD00CA182A52A3r6f6H" TargetMode="External"/><Relationship Id="rId10" Type="http://schemas.openxmlformats.org/officeDocument/2006/relationships/hyperlink" Target="consultantplus://offline/ref=4C068D47DEACE11EFB970E4D1BF6B5A738894C295C71875BFA029B4D2457AB3637EF3A365E14r3f0H" TargetMode="External"/><Relationship Id="rId19" Type="http://schemas.openxmlformats.org/officeDocument/2006/relationships/hyperlink" Target="consultantplus://offline/ref=4C068D47DEACE11EFB9710400D9AE9AD3B8B1A2D5B70840DAD00CA182A52A3r6f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68D47DEACE11EFB970E4D1BF6B5A738894C295C71875BFA029B4D2457AB3637EF3A355C1E32r0f4H" TargetMode="External"/><Relationship Id="rId14" Type="http://schemas.openxmlformats.org/officeDocument/2006/relationships/hyperlink" Target="consultantplus://offline/ref=4C068D47DEACE11EFB9710400D9AE9AD3B8B1A2D5D768A06F00AC2412650rAf4H" TargetMode="External"/><Relationship Id="rId22" Type="http://schemas.openxmlformats.org/officeDocument/2006/relationships/hyperlink" Target="consultantplus://offline/ref=4C068D47DEACE11EFB9710400D9AE9AD3B8B1A2D5C788D0CAD00CA182A52A3r6f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Соловьева Елена Владимировна</cp:lastModifiedBy>
  <cp:revision>1</cp:revision>
  <dcterms:created xsi:type="dcterms:W3CDTF">2016-12-12T07:31:00Z</dcterms:created>
  <dcterms:modified xsi:type="dcterms:W3CDTF">2016-12-12T07:34:00Z</dcterms:modified>
</cp:coreProperties>
</file>