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AD5" w:rsidRPr="00F469EF" w:rsidRDefault="00E77AA3" w:rsidP="00F469EF">
      <w:pPr>
        <w:autoSpaceDE w:val="0"/>
        <w:autoSpaceDN w:val="0"/>
        <w:adjustRightInd w:val="0"/>
        <w:spacing w:after="0" w:line="240" w:lineRule="auto"/>
        <w:jc w:val="center"/>
        <w:rPr>
          <w:rFonts w:ascii="Times New Roman" w:hAnsi="Times New Roman" w:cs="Times New Roman"/>
          <w:sz w:val="24"/>
          <w:szCs w:val="24"/>
        </w:rPr>
      </w:pPr>
      <w:r w:rsidRPr="00F469EF">
        <w:rPr>
          <w:rFonts w:ascii="Times New Roman" w:hAnsi="Times New Roman" w:cs="Times New Roman"/>
          <w:b/>
          <w:bCs/>
          <w:sz w:val="24"/>
          <w:szCs w:val="24"/>
        </w:rPr>
        <w:t>Изменения в налогообложении юридических лиц</w:t>
      </w:r>
    </w:p>
    <w:p w:rsidR="00682314" w:rsidRPr="00F469EF" w:rsidRDefault="00682314" w:rsidP="00682314">
      <w:pPr>
        <w:pStyle w:val="a3"/>
        <w:numPr>
          <w:ilvl w:val="0"/>
          <w:numId w:val="1"/>
        </w:numPr>
        <w:autoSpaceDE w:val="0"/>
        <w:autoSpaceDN w:val="0"/>
        <w:adjustRightInd w:val="0"/>
        <w:spacing w:before="200" w:after="0" w:line="240" w:lineRule="auto"/>
        <w:jc w:val="both"/>
        <w:rPr>
          <w:rFonts w:ascii="Times New Roman" w:hAnsi="Times New Roman" w:cs="Times New Roman"/>
          <w:b/>
          <w:bCs/>
          <w:sz w:val="24"/>
          <w:szCs w:val="24"/>
        </w:rPr>
      </w:pPr>
      <w:r w:rsidRPr="00F469EF">
        <w:rPr>
          <w:rFonts w:ascii="Times New Roman" w:hAnsi="Times New Roman" w:cs="Times New Roman"/>
          <w:b/>
          <w:bCs/>
          <w:sz w:val="24"/>
          <w:szCs w:val="24"/>
        </w:rPr>
        <w:t>НДС 20%</w:t>
      </w:r>
    </w:p>
    <w:p w:rsidR="00494AD5" w:rsidRPr="00F469EF" w:rsidRDefault="00682314" w:rsidP="00F469EF">
      <w:pPr>
        <w:autoSpaceDE w:val="0"/>
        <w:autoSpaceDN w:val="0"/>
        <w:adjustRightInd w:val="0"/>
        <w:spacing w:after="0" w:line="240" w:lineRule="auto"/>
        <w:ind w:firstLine="540"/>
        <w:jc w:val="both"/>
        <w:rPr>
          <w:rFonts w:ascii="Times New Roman" w:hAnsi="Times New Roman" w:cs="Times New Roman"/>
          <w:sz w:val="24"/>
          <w:szCs w:val="24"/>
        </w:rPr>
      </w:pPr>
      <w:r w:rsidRPr="00F469EF">
        <w:rPr>
          <w:rFonts w:ascii="Times New Roman" w:hAnsi="Times New Roman" w:cs="Times New Roman"/>
          <w:sz w:val="24"/>
          <w:szCs w:val="24"/>
        </w:rPr>
        <w:t xml:space="preserve">     </w:t>
      </w:r>
      <w:r w:rsidR="009C4D96" w:rsidRPr="00F469EF">
        <w:rPr>
          <w:rFonts w:ascii="Times New Roman" w:hAnsi="Times New Roman" w:cs="Times New Roman"/>
          <w:sz w:val="24"/>
          <w:szCs w:val="24"/>
        </w:rPr>
        <w:t>Существенные</w:t>
      </w:r>
      <w:r w:rsidR="005C562C" w:rsidRPr="00F469EF">
        <w:rPr>
          <w:rFonts w:ascii="Times New Roman" w:hAnsi="Times New Roman" w:cs="Times New Roman"/>
          <w:sz w:val="24"/>
          <w:szCs w:val="24"/>
        </w:rPr>
        <w:t xml:space="preserve"> поправки в Налоговый </w:t>
      </w:r>
      <w:hyperlink r:id="rId6" w:history="1">
        <w:r w:rsidR="005C562C" w:rsidRPr="00F469EF">
          <w:rPr>
            <w:rFonts w:ascii="Times New Roman" w:hAnsi="Times New Roman" w:cs="Times New Roman"/>
            <w:sz w:val="24"/>
            <w:szCs w:val="24"/>
          </w:rPr>
          <w:t>кодекс</w:t>
        </w:r>
      </w:hyperlink>
      <w:r w:rsidR="009C4D96" w:rsidRPr="00F469EF">
        <w:rPr>
          <w:rFonts w:ascii="Times New Roman" w:hAnsi="Times New Roman" w:cs="Times New Roman"/>
          <w:sz w:val="24"/>
          <w:szCs w:val="24"/>
        </w:rPr>
        <w:t xml:space="preserve"> внесены</w:t>
      </w:r>
      <w:r w:rsidR="005C562C" w:rsidRPr="00F469EF">
        <w:rPr>
          <w:rFonts w:ascii="Times New Roman" w:hAnsi="Times New Roman" w:cs="Times New Roman"/>
          <w:sz w:val="24"/>
          <w:szCs w:val="24"/>
        </w:rPr>
        <w:t xml:space="preserve">, в частности по НДС, которые вступили в силу в этом году. Так, </w:t>
      </w:r>
      <w:r w:rsidRPr="00F469EF">
        <w:rPr>
          <w:rFonts w:ascii="Times New Roman" w:hAnsi="Times New Roman" w:cs="Times New Roman"/>
          <w:sz w:val="24"/>
          <w:szCs w:val="24"/>
        </w:rPr>
        <w:t xml:space="preserve">Федеральным </w:t>
      </w:r>
      <w:hyperlink r:id="rId7" w:history="1">
        <w:r w:rsidRPr="00F469EF">
          <w:rPr>
            <w:rFonts w:ascii="Times New Roman" w:hAnsi="Times New Roman" w:cs="Times New Roman"/>
            <w:sz w:val="24"/>
            <w:szCs w:val="24"/>
          </w:rPr>
          <w:t>закон</w:t>
        </w:r>
      </w:hyperlink>
      <w:r w:rsidRPr="00F469EF">
        <w:rPr>
          <w:rFonts w:ascii="Times New Roman" w:hAnsi="Times New Roman" w:cs="Times New Roman"/>
          <w:sz w:val="24"/>
          <w:szCs w:val="24"/>
        </w:rPr>
        <w:t>ом от 03.08.2018 N 303-ФЗ увеличена базовая ставка НДС на 2%. С 01.01.2019 она составляет 20%.</w:t>
      </w:r>
      <w:r w:rsidR="00F469EF">
        <w:rPr>
          <w:rFonts w:ascii="Times New Roman" w:hAnsi="Times New Roman" w:cs="Times New Roman"/>
          <w:sz w:val="24"/>
          <w:szCs w:val="24"/>
        </w:rPr>
        <w:t xml:space="preserve"> </w:t>
      </w:r>
      <w:r w:rsidRPr="00F469EF">
        <w:rPr>
          <w:rFonts w:ascii="Times New Roman" w:hAnsi="Times New Roman" w:cs="Times New Roman"/>
          <w:sz w:val="24"/>
          <w:szCs w:val="24"/>
        </w:rPr>
        <w:t xml:space="preserve">Что делать? </w:t>
      </w:r>
      <w:r w:rsidR="00494AD5" w:rsidRPr="00F469EF">
        <w:rPr>
          <w:rFonts w:ascii="Times New Roman" w:hAnsi="Times New Roman" w:cs="Times New Roman"/>
          <w:sz w:val="24"/>
          <w:szCs w:val="24"/>
        </w:rPr>
        <w:t>По отгрузкам, состоявшимся до 01.0</w:t>
      </w:r>
      <w:r w:rsidR="00F469EF">
        <w:rPr>
          <w:rFonts w:ascii="Times New Roman" w:hAnsi="Times New Roman" w:cs="Times New Roman"/>
          <w:sz w:val="24"/>
          <w:szCs w:val="24"/>
        </w:rPr>
        <w:t xml:space="preserve">1.2019, ничего делать не </w:t>
      </w:r>
      <w:r w:rsidR="004D64DC">
        <w:rPr>
          <w:rFonts w:ascii="Times New Roman" w:hAnsi="Times New Roman" w:cs="Times New Roman"/>
          <w:sz w:val="24"/>
          <w:szCs w:val="24"/>
        </w:rPr>
        <w:t xml:space="preserve">надо, </w:t>
      </w:r>
      <w:r w:rsidR="004D64DC" w:rsidRPr="00F469EF">
        <w:rPr>
          <w:rFonts w:ascii="Times New Roman" w:hAnsi="Times New Roman" w:cs="Times New Roman"/>
          <w:sz w:val="24"/>
          <w:szCs w:val="24"/>
        </w:rPr>
        <w:t>даже</w:t>
      </w:r>
      <w:r w:rsidR="00494AD5" w:rsidRPr="00F469EF">
        <w:rPr>
          <w:rFonts w:ascii="Times New Roman" w:hAnsi="Times New Roman" w:cs="Times New Roman"/>
          <w:sz w:val="24"/>
          <w:szCs w:val="24"/>
        </w:rPr>
        <w:t xml:space="preserve"> если оплата пройдет в 2019 г.</w:t>
      </w:r>
    </w:p>
    <w:p w:rsidR="00494AD5" w:rsidRPr="00F469EF" w:rsidRDefault="00494AD5" w:rsidP="00F469EF">
      <w:pPr>
        <w:autoSpaceDE w:val="0"/>
        <w:autoSpaceDN w:val="0"/>
        <w:adjustRightInd w:val="0"/>
        <w:spacing w:before="200" w:after="0" w:line="240" w:lineRule="auto"/>
        <w:ind w:firstLine="540"/>
        <w:jc w:val="both"/>
        <w:rPr>
          <w:rFonts w:ascii="Times New Roman" w:hAnsi="Times New Roman" w:cs="Times New Roman"/>
          <w:sz w:val="24"/>
          <w:szCs w:val="24"/>
        </w:rPr>
      </w:pPr>
      <w:r w:rsidRPr="00F469EF">
        <w:rPr>
          <w:rFonts w:ascii="Times New Roman" w:hAnsi="Times New Roman" w:cs="Times New Roman"/>
          <w:sz w:val="24"/>
          <w:szCs w:val="24"/>
        </w:rPr>
        <w:t>Что делать с договорами, заключенными до 01.01.2019?</w:t>
      </w:r>
    </w:p>
    <w:p w:rsidR="009C4D96" w:rsidRPr="00F469EF" w:rsidRDefault="009C4D96" w:rsidP="00F469EF">
      <w:pPr>
        <w:autoSpaceDE w:val="0"/>
        <w:autoSpaceDN w:val="0"/>
        <w:adjustRightInd w:val="0"/>
        <w:spacing w:before="200" w:after="0" w:line="240" w:lineRule="auto"/>
        <w:ind w:firstLine="540"/>
        <w:jc w:val="both"/>
        <w:rPr>
          <w:rFonts w:ascii="Times New Roman" w:hAnsi="Times New Roman" w:cs="Times New Roman"/>
          <w:sz w:val="24"/>
          <w:szCs w:val="24"/>
        </w:rPr>
      </w:pPr>
      <w:r w:rsidRPr="00F469EF">
        <w:rPr>
          <w:rFonts w:ascii="Times New Roman" w:hAnsi="Times New Roman" w:cs="Times New Roman"/>
          <w:sz w:val="24"/>
          <w:szCs w:val="24"/>
        </w:rPr>
        <w:t xml:space="preserve">Если в договорах прямо указана ставка НДС 18% в виде формулировки </w:t>
      </w:r>
      <w:r w:rsidR="00F469EF">
        <w:rPr>
          <w:rFonts w:ascii="Times New Roman" w:hAnsi="Times New Roman" w:cs="Times New Roman"/>
          <w:sz w:val="24"/>
          <w:szCs w:val="24"/>
        </w:rPr>
        <w:t>–</w:t>
      </w:r>
      <w:r w:rsidRPr="00F469EF">
        <w:rPr>
          <w:rFonts w:ascii="Times New Roman" w:hAnsi="Times New Roman" w:cs="Times New Roman"/>
          <w:sz w:val="24"/>
          <w:szCs w:val="24"/>
        </w:rPr>
        <w:t xml:space="preserve"> </w:t>
      </w:r>
      <w:r w:rsidR="00F469EF">
        <w:rPr>
          <w:rFonts w:ascii="Times New Roman" w:hAnsi="Times New Roman" w:cs="Times New Roman"/>
          <w:sz w:val="24"/>
          <w:szCs w:val="24"/>
        </w:rPr>
        <w:t>«</w:t>
      </w:r>
      <w:r w:rsidR="0042496F" w:rsidRPr="00F469EF">
        <w:rPr>
          <w:rFonts w:ascii="Times New Roman" w:hAnsi="Times New Roman" w:cs="Times New Roman"/>
          <w:sz w:val="24"/>
          <w:szCs w:val="24"/>
        </w:rPr>
        <w:t xml:space="preserve">1000 </w:t>
      </w:r>
      <w:r w:rsidR="00F469EF">
        <w:rPr>
          <w:rFonts w:ascii="Times New Roman" w:hAnsi="Times New Roman" w:cs="Times New Roman"/>
          <w:sz w:val="24"/>
          <w:szCs w:val="24"/>
        </w:rPr>
        <w:t>руб., включая НДС 18%»,</w:t>
      </w:r>
      <w:r w:rsidR="0042496F" w:rsidRPr="00F469EF">
        <w:rPr>
          <w:rFonts w:ascii="Times New Roman" w:hAnsi="Times New Roman" w:cs="Times New Roman"/>
          <w:sz w:val="24"/>
          <w:szCs w:val="24"/>
        </w:rPr>
        <w:t xml:space="preserve">1000 </w:t>
      </w:r>
      <w:r w:rsidR="00494AD5" w:rsidRPr="00F469EF">
        <w:rPr>
          <w:rFonts w:ascii="Times New Roman" w:hAnsi="Times New Roman" w:cs="Times New Roman"/>
          <w:sz w:val="24"/>
          <w:szCs w:val="24"/>
        </w:rPr>
        <w:t xml:space="preserve">руб., в том числе НДС </w:t>
      </w:r>
      <w:r w:rsidR="0042496F" w:rsidRPr="00F469EF">
        <w:rPr>
          <w:rFonts w:ascii="Times New Roman" w:hAnsi="Times New Roman" w:cs="Times New Roman"/>
          <w:sz w:val="24"/>
          <w:szCs w:val="24"/>
        </w:rPr>
        <w:t>152,54</w:t>
      </w:r>
      <w:r w:rsidR="00494AD5" w:rsidRPr="00F469EF">
        <w:rPr>
          <w:rFonts w:ascii="Times New Roman" w:hAnsi="Times New Roman" w:cs="Times New Roman"/>
          <w:sz w:val="24"/>
          <w:szCs w:val="24"/>
        </w:rPr>
        <w:t xml:space="preserve"> руб.</w:t>
      </w:r>
      <w:r w:rsidR="00CC6ACA" w:rsidRPr="00F469EF">
        <w:rPr>
          <w:rFonts w:ascii="Times New Roman" w:hAnsi="Times New Roman" w:cs="Times New Roman"/>
          <w:sz w:val="24"/>
          <w:szCs w:val="24"/>
        </w:rPr>
        <w:t>,</w:t>
      </w:r>
      <w:r w:rsidR="00494AD5" w:rsidRPr="00F469EF">
        <w:rPr>
          <w:rFonts w:ascii="Times New Roman" w:hAnsi="Times New Roman" w:cs="Times New Roman"/>
          <w:sz w:val="24"/>
          <w:szCs w:val="24"/>
        </w:rPr>
        <w:t xml:space="preserve"> </w:t>
      </w:r>
      <w:r w:rsidR="00CC6ACA" w:rsidRPr="00F469EF">
        <w:rPr>
          <w:rFonts w:ascii="Times New Roman" w:hAnsi="Times New Roman" w:cs="Times New Roman"/>
          <w:sz w:val="24"/>
          <w:szCs w:val="24"/>
        </w:rPr>
        <w:t>в</w:t>
      </w:r>
      <w:r w:rsidR="00494AD5" w:rsidRPr="00F469EF">
        <w:rPr>
          <w:rFonts w:ascii="Times New Roman" w:hAnsi="Times New Roman" w:cs="Times New Roman"/>
          <w:sz w:val="24"/>
          <w:szCs w:val="24"/>
        </w:rPr>
        <w:t xml:space="preserve"> такие договоры лучше внести изменения, либо согласовав новую цену, либо указав новую ставку или сумму НДС. Если условия договора не поменяете, все равно считайте налог по 20% от общей цены договора. </w:t>
      </w:r>
    </w:p>
    <w:p w:rsidR="00494AD5" w:rsidRPr="00F469EF" w:rsidRDefault="00494AD5" w:rsidP="00494AD5">
      <w:pPr>
        <w:autoSpaceDE w:val="0"/>
        <w:autoSpaceDN w:val="0"/>
        <w:adjustRightInd w:val="0"/>
        <w:spacing w:before="200" w:after="0" w:line="240" w:lineRule="auto"/>
        <w:jc w:val="both"/>
        <w:rPr>
          <w:rFonts w:ascii="Times New Roman" w:hAnsi="Times New Roman" w:cs="Times New Roman"/>
          <w:sz w:val="24"/>
          <w:szCs w:val="24"/>
        </w:rPr>
      </w:pPr>
      <w:r w:rsidRPr="00F469EF">
        <w:rPr>
          <w:rFonts w:ascii="Times New Roman" w:hAnsi="Times New Roman" w:cs="Times New Roman"/>
          <w:sz w:val="24"/>
          <w:szCs w:val="24"/>
        </w:rPr>
        <w:t>Вариант 2 - цена договора установлена без НДС. Например</w:t>
      </w:r>
      <w:r w:rsidR="00F469EF">
        <w:rPr>
          <w:rFonts w:ascii="Times New Roman" w:hAnsi="Times New Roman" w:cs="Times New Roman"/>
          <w:sz w:val="24"/>
          <w:szCs w:val="24"/>
        </w:rPr>
        <w:t xml:space="preserve"> – «100 руб. плюс НДС», «100 руб. без учета НДС»</w:t>
      </w:r>
      <w:r w:rsidRPr="00F469EF">
        <w:rPr>
          <w:rFonts w:ascii="Times New Roman" w:hAnsi="Times New Roman" w:cs="Times New Roman"/>
          <w:sz w:val="24"/>
          <w:szCs w:val="24"/>
        </w:rPr>
        <w:t xml:space="preserve">. Такие договоры можно не менять, просто начисляйте НДС по новой ставке. </w:t>
      </w:r>
    </w:p>
    <w:p w:rsidR="0042496F" w:rsidRPr="00F469EF" w:rsidRDefault="00F469EF" w:rsidP="00F469EF">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Обратите внимание</w:t>
      </w:r>
      <w:r w:rsidR="009C4D96" w:rsidRPr="00F469EF">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0042496F" w:rsidRPr="00F469EF">
        <w:rPr>
          <w:rFonts w:ascii="Times New Roman" w:hAnsi="Times New Roman" w:cs="Times New Roman"/>
          <w:sz w:val="24"/>
          <w:szCs w:val="24"/>
        </w:rPr>
        <w:t>Если вы получили аванс в 2018 году, то начисляете с него НДС по ставке 18/118 процентов (п. 4 ст. 167 НК). Вы оформляете счет-фактуру на аванс и делаете запись в книге продаж. Если вы отгружаете товар уже в 2019 году, то в отношении этой операции действует НДС 20 процентов.</w:t>
      </w:r>
      <w:r>
        <w:rPr>
          <w:rFonts w:ascii="Times New Roman" w:eastAsia="Times New Roman" w:hAnsi="Times New Roman" w:cs="Times New Roman"/>
          <w:b/>
          <w:bCs/>
          <w:sz w:val="24"/>
          <w:szCs w:val="24"/>
          <w:lang w:eastAsia="ru-RU"/>
        </w:rPr>
        <w:br/>
      </w:r>
      <w:r w:rsidR="0042496F" w:rsidRPr="00F469EF">
        <w:rPr>
          <w:rFonts w:ascii="Times New Roman" w:hAnsi="Times New Roman" w:cs="Times New Roman"/>
          <w:sz w:val="24"/>
          <w:szCs w:val="24"/>
        </w:rPr>
        <w:t>На дату отгрузки вы начисляете НДС по ставке 20%, так как в 2019 году уже прошло увеличение ставки. Оформляете счет-фактуру на отгрузку и вносите запись в книгу продаж. Далее принимаете к вычету НДС по ставке 18/118 процентов, начисленный с полученного аванса. На основании счета-фактуры на аванс делаете запись в книге покупок.</w:t>
      </w:r>
    </w:p>
    <w:p w:rsidR="002F03C9" w:rsidRPr="00F469EF" w:rsidRDefault="002F03C9" w:rsidP="002F03C9">
      <w:pPr>
        <w:autoSpaceDE w:val="0"/>
        <w:autoSpaceDN w:val="0"/>
        <w:adjustRightInd w:val="0"/>
        <w:spacing w:after="0" w:line="240" w:lineRule="auto"/>
        <w:ind w:firstLine="540"/>
        <w:jc w:val="both"/>
        <w:rPr>
          <w:rFonts w:ascii="Times New Roman" w:hAnsi="Times New Roman" w:cs="Times New Roman"/>
          <w:b/>
          <w:sz w:val="24"/>
          <w:szCs w:val="24"/>
        </w:rPr>
      </w:pPr>
      <w:r w:rsidRPr="00F469EF">
        <w:rPr>
          <w:rFonts w:ascii="Times New Roman" w:hAnsi="Times New Roman" w:cs="Times New Roman"/>
          <w:b/>
          <w:sz w:val="24"/>
          <w:szCs w:val="24"/>
        </w:rPr>
        <w:t>Теперь о восстановлении НДС по бюджетным средствам на возмещение расходов, полученных в 2019 году и позднее.</w:t>
      </w:r>
    </w:p>
    <w:p w:rsidR="006F0572" w:rsidRPr="00F469EF" w:rsidRDefault="004D64DC" w:rsidP="00F469EF">
      <w:pPr>
        <w:autoSpaceDE w:val="0"/>
        <w:autoSpaceDN w:val="0"/>
        <w:adjustRightInd w:val="0"/>
        <w:spacing w:before="220" w:after="0" w:line="240" w:lineRule="auto"/>
        <w:ind w:firstLine="540"/>
        <w:jc w:val="both"/>
        <w:rPr>
          <w:rFonts w:ascii="Times New Roman" w:hAnsi="Times New Roman" w:cs="Times New Roman"/>
          <w:sz w:val="24"/>
          <w:szCs w:val="24"/>
        </w:rPr>
      </w:pPr>
      <w:r w:rsidRPr="00F469EF">
        <w:rPr>
          <w:rFonts w:ascii="Times New Roman" w:hAnsi="Times New Roman" w:cs="Times New Roman"/>
          <w:sz w:val="24"/>
          <w:szCs w:val="24"/>
        </w:rPr>
        <w:t>С 1 ян</w:t>
      </w:r>
      <w:r>
        <w:rPr>
          <w:rFonts w:ascii="Times New Roman" w:hAnsi="Times New Roman" w:cs="Times New Roman"/>
          <w:sz w:val="24"/>
          <w:szCs w:val="24"/>
        </w:rPr>
        <w:t>варя 2019 года восстанавливать "</w:t>
      </w:r>
      <w:r w:rsidRPr="00F469EF">
        <w:rPr>
          <w:rFonts w:ascii="Times New Roman" w:hAnsi="Times New Roman" w:cs="Times New Roman"/>
          <w:sz w:val="24"/>
          <w:szCs w:val="24"/>
        </w:rPr>
        <w:t>входной" налог придется только в случае, если из документов на предоставление бюджетных денег следует, что эти средства идут, в том числе на оплату "входного" НДС.</w:t>
      </w:r>
      <w:r>
        <w:rPr>
          <w:rFonts w:ascii="Times New Roman" w:hAnsi="Times New Roman" w:cs="Times New Roman"/>
          <w:sz w:val="24"/>
          <w:szCs w:val="24"/>
        </w:rPr>
        <w:t xml:space="preserve"> </w:t>
      </w:r>
      <w:r w:rsidR="002F03C9" w:rsidRPr="00F469EF">
        <w:rPr>
          <w:rFonts w:ascii="Times New Roman" w:hAnsi="Times New Roman" w:cs="Times New Roman"/>
          <w:sz w:val="24"/>
          <w:szCs w:val="24"/>
        </w:rPr>
        <w:t>Если субсидии предоставлены для возмещения НДС, уплаченного на таможне, импортер обязан восстановить ранее принятый к вычету налог.</w:t>
      </w:r>
      <w:r w:rsidR="00F469EF">
        <w:rPr>
          <w:rFonts w:ascii="Times New Roman" w:hAnsi="Times New Roman" w:cs="Times New Roman"/>
          <w:sz w:val="24"/>
          <w:szCs w:val="24"/>
        </w:rPr>
        <w:t xml:space="preserve"> </w:t>
      </w:r>
      <w:r w:rsidR="008B57C7" w:rsidRPr="00F469EF">
        <w:rPr>
          <w:rFonts w:ascii="Times New Roman" w:hAnsi="Times New Roman" w:cs="Times New Roman"/>
          <w:sz w:val="24"/>
          <w:szCs w:val="24"/>
        </w:rPr>
        <w:t>Субсидия, как вы знаете, может быть заранее предоставлена и для уплаты НДС на таможне. Принять налог к вычету импортер</w:t>
      </w:r>
      <w:r w:rsidR="00700797" w:rsidRPr="00F469EF">
        <w:rPr>
          <w:rFonts w:ascii="Times New Roman" w:hAnsi="Times New Roman" w:cs="Times New Roman"/>
          <w:sz w:val="24"/>
          <w:szCs w:val="24"/>
        </w:rPr>
        <w:t xml:space="preserve"> в таком случае</w:t>
      </w:r>
      <w:r w:rsidR="008B57C7" w:rsidRPr="00F469EF">
        <w:rPr>
          <w:rFonts w:ascii="Times New Roman" w:hAnsi="Times New Roman" w:cs="Times New Roman"/>
          <w:sz w:val="24"/>
          <w:szCs w:val="24"/>
        </w:rPr>
        <w:t xml:space="preserve"> не вправе.</w:t>
      </w:r>
      <w:r w:rsidR="00F469EF">
        <w:rPr>
          <w:rFonts w:ascii="Times New Roman" w:hAnsi="Times New Roman" w:cs="Times New Roman"/>
          <w:sz w:val="24"/>
          <w:szCs w:val="24"/>
        </w:rPr>
        <w:t xml:space="preserve"> </w:t>
      </w:r>
      <w:r w:rsidR="006F0572" w:rsidRPr="00F469EF">
        <w:rPr>
          <w:rFonts w:ascii="Times New Roman" w:hAnsi="Times New Roman" w:cs="Times New Roman"/>
          <w:sz w:val="24"/>
          <w:szCs w:val="24"/>
        </w:rPr>
        <w:t>Если же в документах на предоставление бюджетных субсидий указано, что деньги не идут на оплату "входного" НДС, получатель имеет право на вычет налога в полном объеме.</w:t>
      </w:r>
    </w:p>
    <w:p w:rsidR="002F03C9" w:rsidRPr="00F469EF" w:rsidRDefault="00700797" w:rsidP="002F03C9">
      <w:pPr>
        <w:autoSpaceDE w:val="0"/>
        <w:autoSpaceDN w:val="0"/>
        <w:adjustRightInd w:val="0"/>
        <w:spacing w:before="220" w:after="0" w:line="240" w:lineRule="auto"/>
        <w:ind w:firstLine="540"/>
        <w:jc w:val="both"/>
        <w:rPr>
          <w:rFonts w:ascii="Times New Roman" w:hAnsi="Times New Roman" w:cs="Times New Roman"/>
          <w:sz w:val="24"/>
          <w:szCs w:val="24"/>
        </w:rPr>
      </w:pPr>
      <w:r w:rsidRPr="00F469EF">
        <w:rPr>
          <w:rFonts w:ascii="Times New Roman" w:hAnsi="Times New Roman" w:cs="Times New Roman"/>
          <w:b/>
          <w:bCs/>
          <w:sz w:val="24"/>
          <w:szCs w:val="24"/>
        </w:rPr>
        <w:t>Еще одно изменение коснулось ст. 149 НК:</w:t>
      </w:r>
      <w:r w:rsidR="002F03C9" w:rsidRPr="00F469EF">
        <w:rPr>
          <w:rFonts w:ascii="Times New Roman" w:hAnsi="Times New Roman" w:cs="Times New Roman"/>
          <w:sz w:val="24"/>
          <w:szCs w:val="24"/>
        </w:rPr>
        <w:t xml:space="preserve"> с 1 января 2019 года получают право отказаться от освобождения от НДС те, кто оказывает услуги по гарантийному ремонту и техническому обслуживанию (и замене деталей) товаров, включая медицинские. С 1-го числа квартала, следующего за месяцем подачи заявления в ИФНС, нужно будет начислять </w:t>
      </w:r>
      <w:r w:rsidR="004D64DC" w:rsidRPr="00F469EF">
        <w:rPr>
          <w:rFonts w:ascii="Times New Roman" w:hAnsi="Times New Roman" w:cs="Times New Roman"/>
          <w:sz w:val="24"/>
          <w:szCs w:val="24"/>
        </w:rPr>
        <w:t>налог,</w:t>
      </w:r>
      <w:r w:rsidR="000674BF" w:rsidRPr="00F469EF">
        <w:rPr>
          <w:rFonts w:ascii="Times New Roman" w:hAnsi="Times New Roman" w:cs="Times New Roman"/>
          <w:sz w:val="24"/>
          <w:szCs w:val="24"/>
        </w:rPr>
        <w:t xml:space="preserve"> </w:t>
      </w:r>
      <w:r w:rsidR="002F03C9" w:rsidRPr="00F469EF">
        <w:rPr>
          <w:rFonts w:ascii="Times New Roman" w:hAnsi="Times New Roman" w:cs="Times New Roman"/>
          <w:sz w:val="24"/>
          <w:szCs w:val="24"/>
        </w:rPr>
        <w:t>и получать вычет "входного" НДС по дорогостоящим запчастям.</w:t>
      </w:r>
    </w:p>
    <w:p w:rsidR="002F03C9" w:rsidRPr="00F469EF" w:rsidRDefault="00700797" w:rsidP="002F03C9">
      <w:pPr>
        <w:autoSpaceDE w:val="0"/>
        <w:autoSpaceDN w:val="0"/>
        <w:adjustRightInd w:val="0"/>
        <w:spacing w:before="220" w:after="0" w:line="240" w:lineRule="auto"/>
        <w:ind w:firstLine="540"/>
        <w:jc w:val="both"/>
        <w:rPr>
          <w:rFonts w:ascii="Times New Roman" w:hAnsi="Times New Roman" w:cs="Times New Roman"/>
          <w:sz w:val="24"/>
          <w:szCs w:val="24"/>
        </w:rPr>
      </w:pPr>
      <w:r w:rsidRPr="00F469EF">
        <w:rPr>
          <w:rFonts w:ascii="Times New Roman" w:hAnsi="Times New Roman" w:cs="Times New Roman"/>
          <w:b/>
          <w:bCs/>
          <w:sz w:val="24"/>
          <w:szCs w:val="24"/>
        </w:rPr>
        <w:t>Следующее изменение:</w:t>
      </w:r>
      <w:r w:rsidR="002F03C9" w:rsidRPr="00F469EF">
        <w:rPr>
          <w:rFonts w:ascii="Times New Roman" w:hAnsi="Times New Roman" w:cs="Times New Roman"/>
          <w:sz w:val="24"/>
          <w:szCs w:val="24"/>
        </w:rPr>
        <w:t xml:space="preserve"> с 2019 года заканчивается льгота по НДС при реализации макулатуры. С 2019 года реализация макулатуры будет облагаться налогом на добавленную стоимость, а налог придется исчислять покупателям макулатуры. Они станут налоговыми агентами</w:t>
      </w:r>
      <w:r w:rsidRPr="00F469EF">
        <w:rPr>
          <w:rFonts w:ascii="Times New Roman" w:hAnsi="Times New Roman" w:cs="Times New Roman"/>
          <w:sz w:val="24"/>
          <w:szCs w:val="24"/>
        </w:rPr>
        <w:t>, аналогично покупателям металлолома.</w:t>
      </w:r>
    </w:p>
    <w:p w:rsidR="002F03C9" w:rsidRPr="00F469EF" w:rsidRDefault="002F03C9" w:rsidP="00F469EF">
      <w:pPr>
        <w:autoSpaceDE w:val="0"/>
        <w:autoSpaceDN w:val="0"/>
        <w:adjustRightInd w:val="0"/>
        <w:spacing w:before="220" w:after="0" w:line="240" w:lineRule="auto"/>
        <w:ind w:firstLine="540"/>
        <w:jc w:val="both"/>
        <w:rPr>
          <w:rFonts w:ascii="Times New Roman" w:hAnsi="Times New Roman" w:cs="Times New Roman"/>
          <w:sz w:val="24"/>
          <w:szCs w:val="24"/>
        </w:rPr>
      </w:pPr>
      <w:r w:rsidRPr="00F469EF">
        <w:rPr>
          <w:rFonts w:ascii="Times New Roman" w:hAnsi="Times New Roman" w:cs="Times New Roman"/>
          <w:sz w:val="24"/>
          <w:szCs w:val="24"/>
        </w:rPr>
        <w:lastRenderedPageBreak/>
        <w:t>По определению к макулатуре относятся бумажные и картонные отходы производства и потребления, отбракованные и вышедшие из употребления бумага, картон, типографские изделия, деловые бумаги, в том числе документы с истекшим сроком хранения.</w:t>
      </w:r>
    </w:p>
    <w:p w:rsidR="00F469EF" w:rsidRDefault="00F469EF" w:rsidP="00923903">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rsidR="00923903" w:rsidRPr="00F469EF" w:rsidRDefault="00700797" w:rsidP="00923903">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F469EF">
        <w:rPr>
          <w:rFonts w:ascii="Times New Roman" w:hAnsi="Times New Roman" w:cs="Times New Roman"/>
          <w:b/>
          <w:bCs/>
          <w:sz w:val="24"/>
          <w:szCs w:val="24"/>
        </w:rPr>
        <w:t>Важное изменение коснулось о</w:t>
      </w:r>
      <w:r w:rsidR="00923903" w:rsidRPr="00F469EF">
        <w:rPr>
          <w:rFonts w:ascii="Times New Roman" w:hAnsi="Times New Roman" w:cs="Times New Roman"/>
          <w:b/>
          <w:bCs/>
          <w:sz w:val="24"/>
          <w:szCs w:val="24"/>
        </w:rPr>
        <w:t>рганизации и ИП на ЕСХН</w:t>
      </w:r>
      <w:r w:rsidRPr="00F469EF">
        <w:rPr>
          <w:rFonts w:ascii="Times New Roman" w:hAnsi="Times New Roman" w:cs="Times New Roman"/>
          <w:b/>
          <w:bCs/>
          <w:sz w:val="24"/>
          <w:szCs w:val="24"/>
        </w:rPr>
        <w:t xml:space="preserve">. </w:t>
      </w:r>
    </w:p>
    <w:p w:rsidR="00F469EF" w:rsidRDefault="00F469EF" w:rsidP="00F469EF">
      <w:pPr>
        <w:ind w:firstLine="540"/>
        <w:jc w:val="both"/>
        <w:rPr>
          <w:rFonts w:ascii="Times New Roman" w:hAnsi="Times New Roman" w:cs="Times New Roman"/>
          <w:sz w:val="24"/>
          <w:szCs w:val="24"/>
        </w:rPr>
      </w:pPr>
    </w:p>
    <w:p w:rsidR="00F469EF" w:rsidRDefault="005C562C" w:rsidP="00F469EF">
      <w:pPr>
        <w:ind w:firstLine="540"/>
        <w:jc w:val="both"/>
        <w:rPr>
          <w:rFonts w:ascii="Times New Roman" w:hAnsi="Times New Roman" w:cs="Times New Roman"/>
          <w:sz w:val="24"/>
          <w:szCs w:val="24"/>
        </w:rPr>
      </w:pPr>
      <w:r w:rsidRPr="00F469EF">
        <w:rPr>
          <w:rFonts w:ascii="Times New Roman" w:hAnsi="Times New Roman" w:cs="Times New Roman"/>
          <w:sz w:val="24"/>
          <w:szCs w:val="24"/>
        </w:rPr>
        <w:t>С 1 января 2019 все плательщики единого сельскохозяйственного налога стали и плательщиками налога на добавленную стоимость.  Такие изменения внесены Федеральным законом от 27.11.2017 № 335-ФЗ.</w:t>
      </w:r>
    </w:p>
    <w:p w:rsidR="005C562C" w:rsidRPr="00F469EF" w:rsidRDefault="005C562C" w:rsidP="00F469EF">
      <w:pPr>
        <w:ind w:firstLine="540"/>
        <w:jc w:val="both"/>
        <w:rPr>
          <w:rFonts w:ascii="Times New Roman" w:hAnsi="Times New Roman" w:cs="Times New Roman"/>
          <w:sz w:val="24"/>
          <w:szCs w:val="24"/>
        </w:rPr>
      </w:pPr>
      <w:r w:rsidRPr="00F469EF">
        <w:rPr>
          <w:rFonts w:ascii="Times New Roman" w:hAnsi="Times New Roman" w:cs="Times New Roman"/>
          <w:sz w:val="24"/>
          <w:szCs w:val="24"/>
        </w:rPr>
        <w:t>Вместе с тем, в 2019 году плательщики единого сельхозналога получ</w:t>
      </w:r>
      <w:r w:rsidR="00F16EA5" w:rsidRPr="00F469EF">
        <w:rPr>
          <w:rFonts w:ascii="Times New Roman" w:hAnsi="Times New Roman" w:cs="Times New Roman"/>
          <w:sz w:val="24"/>
          <w:szCs w:val="24"/>
        </w:rPr>
        <w:t>или</w:t>
      </w:r>
      <w:r w:rsidRPr="00F469EF">
        <w:rPr>
          <w:rFonts w:ascii="Times New Roman" w:hAnsi="Times New Roman" w:cs="Times New Roman"/>
          <w:sz w:val="24"/>
          <w:szCs w:val="24"/>
        </w:rPr>
        <w:t xml:space="preserve"> право на освобождение от НДС в рамках статьи </w:t>
      </w:r>
      <w:hyperlink r:id="rId8" w:anchor="h3921" w:tgtFrame="_blank" w:history="1">
        <w:r w:rsidRPr="00F469EF">
          <w:rPr>
            <w:rFonts w:ascii="Times New Roman" w:hAnsi="Times New Roman" w:cs="Times New Roman"/>
            <w:sz w:val="24"/>
            <w:szCs w:val="24"/>
          </w:rPr>
          <w:t>145</w:t>
        </w:r>
      </w:hyperlink>
      <w:r w:rsidRPr="00F469EF">
        <w:rPr>
          <w:rFonts w:ascii="Times New Roman" w:hAnsi="Times New Roman" w:cs="Times New Roman"/>
          <w:sz w:val="24"/>
          <w:szCs w:val="24"/>
        </w:rPr>
        <w:t> НК РФ. Однако для них предусмотрены особые условия. Так, необходимо, чтобы компания или предприниматель заявил право на освобождение от НДС в том же календарном году, когда он перешел на уплату единого сельхозналога или же в предшествующем налоговом периоде доход по ЕСХН (без учета единого налога) не  превысил установленный лимит. Данный лимит равен:</w:t>
      </w:r>
    </w:p>
    <w:p w:rsidR="005C562C" w:rsidRPr="00F469EF" w:rsidRDefault="005C562C" w:rsidP="00F469EF">
      <w:pPr>
        <w:pStyle w:val="a3"/>
        <w:numPr>
          <w:ilvl w:val="0"/>
          <w:numId w:val="4"/>
        </w:numPr>
        <w:shd w:val="clear" w:color="auto" w:fill="FFFFFF"/>
        <w:spacing w:before="375" w:after="300" w:line="240" w:lineRule="auto"/>
        <w:jc w:val="both"/>
        <w:rPr>
          <w:rFonts w:ascii="Times New Roman" w:eastAsia="Times New Roman" w:hAnsi="Times New Roman" w:cs="Times New Roman"/>
          <w:sz w:val="24"/>
          <w:szCs w:val="24"/>
          <w:lang w:eastAsia="ru-RU"/>
        </w:rPr>
      </w:pPr>
      <w:r w:rsidRPr="00F469EF">
        <w:rPr>
          <w:rFonts w:ascii="Times New Roman" w:eastAsia="Times New Roman" w:hAnsi="Times New Roman" w:cs="Times New Roman"/>
          <w:sz w:val="24"/>
          <w:szCs w:val="24"/>
          <w:lang w:eastAsia="ru-RU"/>
        </w:rPr>
        <w:t>100 миллионов рублей за 2018 год,</w:t>
      </w:r>
    </w:p>
    <w:p w:rsidR="005C562C" w:rsidRPr="00F469EF" w:rsidRDefault="005C562C" w:rsidP="00F469EF">
      <w:pPr>
        <w:pStyle w:val="a3"/>
        <w:numPr>
          <w:ilvl w:val="0"/>
          <w:numId w:val="4"/>
        </w:numPr>
        <w:shd w:val="clear" w:color="auto" w:fill="FFFFFF"/>
        <w:spacing w:before="375" w:after="300" w:line="240" w:lineRule="auto"/>
        <w:jc w:val="both"/>
        <w:rPr>
          <w:rFonts w:ascii="Times New Roman" w:eastAsia="Times New Roman" w:hAnsi="Times New Roman" w:cs="Times New Roman"/>
          <w:sz w:val="24"/>
          <w:szCs w:val="24"/>
          <w:lang w:eastAsia="ru-RU"/>
        </w:rPr>
      </w:pPr>
      <w:r w:rsidRPr="00F469EF">
        <w:rPr>
          <w:rFonts w:ascii="Times New Roman" w:eastAsia="Times New Roman" w:hAnsi="Times New Roman" w:cs="Times New Roman"/>
          <w:sz w:val="24"/>
          <w:szCs w:val="24"/>
          <w:lang w:eastAsia="ru-RU"/>
        </w:rPr>
        <w:t>90 миллионов рублей за 2019 год,</w:t>
      </w:r>
    </w:p>
    <w:p w:rsidR="005C562C" w:rsidRPr="00F469EF" w:rsidRDefault="005C562C" w:rsidP="00F469EF">
      <w:pPr>
        <w:pStyle w:val="a3"/>
        <w:numPr>
          <w:ilvl w:val="0"/>
          <w:numId w:val="4"/>
        </w:numPr>
        <w:shd w:val="clear" w:color="auto" w:fill="FFFFFF"/>
        <w:spacing w:before="375" w:after="300" w:line="240" w:lineRule="auto"/>
        <w:jc w:val="both"/>
        <w:rPr>
          <w:rFonts w:ascii="Times New Roman" w:eastAsia="Times New Roman" w:hAnsi="Times New Roman" w:cs="Times New Roman"/>
          <w:sz w:val="24"/>
          <w:szCs w:val="24"/>
          <w:lang w:eastAsia="ru-RU"/>
        </w:rPr>
      </w:pPr>
      <w:r w:rsidRPr="00F469EF">
        <w:rPr>
          <w:rFonts w:ascii="Times New Roman" w:eastAsia="Times New Roman" w:hAnsi="Times New Roman" w:cs="Times New Roman"/>
          <w:sz w:val="24"/>
          <w:szCs w:val="24"/>
          <w:lang w:eastAsia="ru-RU"/>
        </w:rPr>
        <w:t xml:space="preserve">80 миллионов рублей за 2020 год, </w:t>
      </w:r>
    </w:p>
    <w:p w:rsidR="005C562C" w:rsidRPr="00F469EF" w:rsidRDefault="005C562C" w:rsidP="00F469EF">
      <w:pPr>
        <w:pStyle w:val="a3"/>
        <w:numPr>
          <w:ilvl w:val="0"/>
          <w:numId w:val="4"/>
        </w:numPr>
        <w:shd w:val="clear" w:color="auto" w:fill="FFFFFF"/>
        <w:spacing w:before="375" w:after="300" w:line="240" w:lineRule="auto"/>
        <w:jc w:val="both"/>
        <w:rPr>
          <w:rFonts w:ascii="Times New Roman" w:eastAsia="Times New Roman" w:hAnsi="Times New Roman" w:cs="Times New Roman"/>
          <w:sz w:val="24"/>
          <w:szCs w:val="24"/>
          <w:lang w:eastAsia="ru-RU"/>
        </w:rPr>
      </w:pPr>
      <w:r w:rsidRPr="00F469EF">
        <w:rPr>
          <w:rFonts w:ascii="Times New Roman" w:eastAsia="Times New Roman" w:hAnsi="Times New Roman" w:cs="Times New Roman"/>
          <w:sz w:val="24"/>
          <w:szCs w:val="24"/>
          <w:lang w:eastAsia="ru-RU"/>
        </w:rPr>
        <w:t>70 миллионов рублей за 2021 год,</w:t>
      </w:r>
    </w:p>
    <w:p w:rsidR="005C562C" w:rsidRPr="00F469EF" w:rsidRDefault="005C562C" w:rsidP="00F469EF">
      <w:pPr>
        <w:pStyle w:val="a3"/>
        <w:numPr>
          <w:ilvl w:val="0"/>
          <w:numId w:val="4"/>
        </w:numPr>
        <w:shd w:val="clear" w:color="auto" w:fill="FFFFFF"/>
        <w:spacing w:before="375" w:after="300" w:line="240" w:lineRule="auto"/>
        <w:jc w:val="both"/>
        <w:rPr>
          <w:rFonts w:ascii="Times New Roman" w:eastAsia="Times New Roman" w:hAnsi="Times New Roman" w:cs="Times New Roman"/>
          <w:sz w:val="24"/>
          <w:szCs w:val="24"/>
          <w:lang w:eastAsia="ru-RU"/>
        </w:rPr>
      </w:pPr>
      <w:r w:rsidRPr="00F469EF">
        <w:rPr>
          <w:rFonts w:ascii="Times New Roman" w:eastAsia="Times New Roman" w:hAnsi="Times New Roman" w:cs="Times New Roman"/>
          <w:sz w:val="24"/>
          <w:szCs w:val="24"/>
          <w:lang w:eastAsia="ru-RU"/>
        </w:rPr>
        <w:t>60 миллионов рублей за 2022 год и последующие годы.</w:t>
      </w:r>
    </w:p>
    <w:p w:rsidR="00F469EF" w:rsidRDefault="005C562C" w:rsidP="00F469EF">
      <w:pPr>
        <w:shd w:val="clear" w:color="auto" w:fill="FFFFFF"/>
        <w:spacing w:before="375" w:after="300" w:line="240" w:lineRule="auto"/>
        <w:ind w:firstLine="360"/>
        <w:jc w:val="both"/>
        <w:rPr>
          <w:rFonts w:ascii="Times New Roman" w:eastAsia="Times New Roman" w:hAnsi="Times New Roman" w:cs="Times New Roman"/>
          <w:sz w:val="24"/>
          <w:szCs w:val="24"/>
          <w:lang w:eastAsia="ru-RU"/>
        </w:rPr>
      </w:pPr>
      <w:r w:rsidRPr="00F469EF">
        <w:rPr>
          <w:rFonts w:ascii="Times New Roman" w:eastAsia="Times New Roman" w:hAnsi="Times New Roman" w:cs="Times New Roman"/>
          <w:sz w:val="24"/>
          <w:szCs w:val="24"/>
          <w:lang w:eastAsia="ru-RU"/>
        </w:rPr>
        <w:t xml:space="preserve">Плательщики ЕСХН для получения права на освобождение от НДС, обязаны представить в налоговую инспекцию по месту своего учета письменное уведомление. Сделать это нужно было не позднее 20-го </w:t>
      </w:r>
      <w:r w:rsidR="00700797" w:rsidRPr="00F469EF">
        <w:rPr>
          <w:rFonts w:ascii="Times New Roman" w:eastAsia="Times New Roman" w:hAnsi="Times New Roman" w:cs="Times New Roman"/>
          <w:sz w:val="24"/>
          <w:szCs w:val="24"/>
          <w:lang w:eastAsia="ru-RU"/>
        </w:rPr>
        <w:t>января 2019г.</w:t>
      </w:r>
    </w:p>
    <w:p w:rsidR="00F469EF" w:rsidRDefault="005C562C" w:rsidP="00F469EF">
      <w:pPr>
        <w:shd w:val="clear" w:color="auto" w:fill="FFFFFF"/>
        <w:spacing w:before="375" w:after="300" w:line="240" w:lineRule="auto"/>
        <w:ind w:firstLine="708"/>
        <w:jc w:val="both"/>
        <w:rPr>
          <w:rStyle w:val="a4"/>
          <w:rFonts w:ascii="Times New Roman" w:hAnsi="Times New Roman" w:cs="Times New Roman"/>
          <w:color w:val="auto"/>
          <w:sz w:val="24"/>
          <w:szCs w:val="24"/>
        </w:rPr>
      </w:pPr>
      <w:r w:rsidRPr="00F469EF">
        <w:rPr>
          <w:rFonts w:ascii="Times New Roman" w:hAnsi="Times New Roman" w:cs="Times New Roman"/>
          <w:sz w:val="24"/>
          <w:szCs w:val="24"/>
        </w:rPr>
        <w:t>Налогоплательщики ЕСХН, направившие в налоговый орган уведомление об использовании права на освобождение, не могут отказаться от этого освобождения до истечения 12 последовательных календарных месяцев.</w:t>
      </w:r>
      <w:r w:rsidRPr="00F469EF">
        <w:rPr>
          <w:rStyle w:val="a4"/>
          <w:rFonts w:ascii="Times New Roman" w:hAnsi="Times New Roman" w:cs="Times New Roman"/>
          <w:color w:val="auto"/>
          <w:sz w:val="24"/>
          <w:szCs w:val="24"/>
        </w:rPr>
        <w:t xml:space="preserve"> </w:t>
      </w:r>
    </w:p>
    <w:p w:rsidR="005C562C" w:rsidRPr="004C7638" w:rsidRDefault="00F469EF" w:rsidP="00F469EF">
      <w:pPr>
        <w:shd w:val="clear" w:color="auto" w:fill="FFFFFF"/>
        <w:spacing w:before="375" w:after="300" w:line="240" w:lineRule="auto"/>
        <w:ind w:firstLine="708"/>
        <w:jc w:val="both"/>
        <w:rPr>
          <w:rFonts w:ascii="Times New Roman" w:hAnsi="Times New Roman" w:cs="Times New Roman"/>
          <w:sz w:val="24"/>
          <w:szCs w:val="24"/>
        </w:rPr>
      </w:pPr>
      <w:r w:rsidRPr="00F469EF">
        <w:rPr>
          <w:rStyle w:val="a4"/>
          <w:rFonts w:ascii="Times New Roman" w:hAnsi="Times New Roman" w:cs="Times New Roman"/>
          <w:b/>
          <w:color w:val="auto"/>
          <w:sz w:val="24"/>
          <w:szCs w:val="24"/>
        </w:rPr>
        <w:t>Обратите внимание</w:t>
      </w:r>
      <w:r>
        <w:rPr>
          <w:rStyle w:val="a4"/>
          <w:rFonts w:ascii="Times New Roman" w:hAnsi="Times New Roman" w:cs="Times New Roman"/>
          <w:color w:val="auto"/>
          <w:sz w:val="24"/>
          <w:szCs w:val="24"/>
        </w:rPr>
        <w:t xml:space="preserve">: </w:t>
      </w:r>
      <w:r w:rsidR="005C562C" w:rsidRPr="00F469EF">
        <w:rPr>
          <w:rStyle w:val="a5"/>
          <w:rFonts w:ascii="Times New Roman" w:hAnsi="Times New Roman" w:cs="Times New Roman"/>
          <w:b w:val="0"/>
          <w:sz w:val="24"/>
          <w:szCs w:val="24"/>
        </w:rPr>
        <w:t>Освобождение от НДС дается только один раз</w:t>
      </w:r>
      <w:r w:rsidR="005C562C" w:rsidRPr="00F469EF">
        <w:rPr>
          <w:rFonts w:ascii="Times New Roman" w:hAnsi="Times New Roman" w:cs="Times New Roman"/>
          <w:b/>
          <w:sz w:val="24"/>
          <w:szCs w:val="24"/>
        </w:rPr>
        <w:t xml:space="preserve"> — </w:t>
      </w:r>
      <w:r w:rsidR="005C562C" w:rsidRPr="004C7638">
        <w:rPr>
          <w:rFonts w:ascii="Times New Roman" w:hAnsi="Times New Roman" w:cs="Times New Roman"/>
          <w:sz w:val="24"/>
          <w:szCs w:val="24"/>
        </w:rPr>
        <w:t>повторно обратиться за ним нельзя.</w:t>
      </w:r>
    </w:p>
    <w:p w:rsidR="005C562C" w:rsidRPr="00F469EF" w:rsidRDefault="005C562C" w:rsidP="00F469EF">
      <w:pPr>
        <w:ind w:firstLine="708"/>
        <w:jc w:val="both"/>
        <w:rPr>
          <w:rFonts w:ascii="Times New Roman" w:hAnsi="Times New Roman" w:cs="Times New Roman"/>
          <w:sz w:val="24"/>
          <w:szCs w:val="24"/>
        </w:rPr>
      </w:pPr>
      <w:r w:rsidRPr="00F469EF">
        <w:rPr>
          <w:rFonts w:ascii="Times New Roman" w:hAnsi="Times New Roman" w:cs="Times New Roman"/>
          <w:sz w:val="24"/>
          <w:szCs w:val="24"/>
        </w:rPr>
        <w:t>Право на освобождение от исчисления и уплаты НДС налогоплательщики ЕСХН утратят, если имело место превышение установленной для освобождения суммы выручки либо осуществлялась реализация подакцизных товаров. Нарушив указанные нормы, повторно реализовать право на освобождение от уплаты НДС сельскохозяйственные товаропроизводители не смогут.</w:t>
      </w:r>
    </w:p>
    <w:p w:rsidR="005C562C" w:rsidRPr="00F469EF" w:rsidRDefault="005C562C" w:rsidP="00F469EF">
      <w:pPr>
        <w:pStyle w:val="a3"/>
        <w:numPr>
          <w:ilvl w:val="0"/>
          <w:numId w:val="1"/>
        </w:numPr>
        <w:jc w:val="both"/>
        <w:rPr>
          <w:rFonts w:ascii="Times New Roman" w:hAnsi="Times New Roman" w:cs="Times New Roman"/>
          <w:b/>
          <w:sz w:val="24"/>
          <w:szCs w:val="24"/>
        </w:rPr>
      </w:pPr>
      <w:r w:rsidRPr="00F469EF">
        <w:rPr>
          <w:rFonts w:ascii="Times New Roman" w:hAnsi="Times New Roman" w:cs="Times New Roman"/>
          <w:b/>
          <w:sz w:val="24"/>
          <w:szCs w:val="24"/>
        </w:rPr>
        <w:t>НАЛОГ НА ПРИБЫЛЬ</w:t>
      </w:r>
    </w:p>
    <w:p w:rsidR="002F03C9" w:rsidRPr="00F469EF" w:rsidRDefault="002F03C9" w:rsidP="00F469EF">
      <w:pPr>
        <w:autoSpaceDE w:val="0"/>
        <w:autoSpaceDN w:val="0"/>
        <w:adjustRightInd w:val="0"/>
        <w:spacing w:after="0" w:line="240" w:lineRule="auto"/>
        <w:ind w:firstLine="540"/>
        <w:jc w:val="both"/>
        <w:rPr>
          <w:rFonts w:ascii="Times New Roman" w:hAnsi="Times New Roman" w:cs="Times New Roman"/>
          <w:sz w:val="24"/>
          <w:szCs w:val="24"/>
        </w:rPr>
      </w:pPr>
      <w:r w:rsidRPr="00F469EF">
        <w:rPr>
          <w:rFonts w:ascii="Times New Roman" w:hAnsi="Times New Roman" w:cs="Times New Roman"/>
          <w:sz w:val="24"/>
          <w:szCs w:val="24"/>
        </w:rPr>
        <w:t xml:space="preserve">Множество изменений </w:t>
      </w:r>
      <w:hyperlink r:id="rId9" w:history="1">
        <w:r w:rsidRPr="00F469EF">
          <w:rPr>
            <w:rFonts w:ascii="Times New Roman" w:hAnsi="Times New Roman" w:cs="Times New Roman"/>
            <w:sz w:val="24"/>
            <w:szCs w:val="24"/>
          </w:rPr>
          <w:t>Закон</w:t>
        </w:r>
      </w:hyperlink>
      <w:r w:rsidRPr="00F469EF">
        <w:rPr>
          <w:rFonts w:ascii="Times New Roman" w:hAnsi="Times New Roman" w:cs="Times New Roman"/>
          <w:sz w:val="24"/>
          <w:szCs w:val="24"/>
        </w:rPr>
        <w:t xml:space="preserve"> N 424-ФЗ внес по налогу на прибыль.</w:t>
      </w:r>
      <w:r w:rsidR="00F469EF">
        <w:rPr>
          <w:rFonts w:ascii="Times New Roman" w:hAnsi="Times New Roman" w:cs="Times New Roman"/>
          <w:sz w:val="24"/>
          <w:szCs w:val="24"/>
        </w:rPr>
        <w:t xml:space="preserve"> </w:t>
      </w:r>
      <w:r w:rsidRPr="00F469EF">
        <w:rPr>
          <w:rFonts w:ascii="Times New Roman" w:hAnsi="Times New Roman" w:cs="Times New Roman"/>
          <w:sz w:val="24"/>
          <w:szCs w:val="24"/>
        </w:rPr>
        <w:t>Так, нулевую ставку при продаже долей в уставном капитале (или акций) можно применять независимо от того, когда они были приобретены.</w:t>
      </w:r>
      <w:r w:rsidR="00F469EF">
        <w:rPr>
          <w:rFonts w:ascii="Times New Roman" w:hAnsi="Times New Roman" w:cs="Times New Roman"/>
          <w:sz w:val="24"/>
          <w:szCs w:val="24"/>
        </w:rPr>
        <w:t xml:space="preserve"> </w:t>
      </w:r>
      <w:r w:rsidRPr="00F469EF">
        <w:rPr>
          <w:rFonts w:ascii="Times New Roman" w:hAnsi="Times New Roman" w:cs="Times New Roman"/>
          <w:sz w:val="24"/>
          <w:szCs w:val="24"/>
        </w:rPr>
        <w:t xml:space="preserve">С 27 ноября 2018 года перестало действовать временное ограничение. Раньше покупка должна была состояться не ранее 2011 года. Теперь же неважно, когда были приобретены </w:t>
      </w:r>
      <w:r w:rsidRPr="00F469EF">
        <w:rPr>
          <w:rFonts w:ascii="Times New Roman" w:hAnsi="Times New Roman" w:cs="Times New Roman"/>
          <w:sz w:val="24"/>
          <w:szCs w:val="24"/>
        </w:rPr>
        <w:lastRenderedPageBreak/>
        <w:t>ценные бумаги или доли в обществе, - при их продаже будет действовать льгота. Однако изменение не действует на сделки, совершенные до вступления поправок в силу.</w:t>
      </w:r>
    </w:p>
    <w:p w:rsidR="002F03C9" w:rsidRPr="00F469EF" w:rsidRDefault="002F03C9" w:rsidP="002F03C9">
      <w:pPr>
        <w:autoSpaceDE w:val="0"/>
        <w:autoSpaceDN w:val="0"/>
        <w:adjustRightInd w:val="0"/>
        <w:spacing w:before="220" w:after="0" w:line="240" w:lineRule="auto"/>
        <w:ind w:firstLine="540"/>
        <w:jc w:val="both"/>
        <w:rPr>
          <w:rFonts w:ascii="Times New Roman" w:hAnsi="Times New Roman" w:cs="Times New Roman"/>
          <w:sz w:val="24"/>
          <w:szCs w:val="24"/>
        </w:rPr>
      </w:pPr>
      <w:r w:rsidRPr="00F469EF">
        <w:rPr>
          <w:rFonts w:ascii="Times New Roman" w:hAnsi="Times New Roman" w:cs="Times New Roman"/>
          <w:sz w:val="24"/>
          <w:szCs w:val="24"/>
        </w:rPr>
        <w:t>С 2019 года уточнены доходы, не учитываемые при определении базы по налогу на прибыль. С 1 января 2019 года к ним будут относить денежные средства, полученные организацией от головной компании безвозмездно в пределах сделанного ею ранее денежного вклада в имущество.</w:t>
      </w:r>
    </w:p>
    <w:p w:rsidR="002F03C9" w:rsidRPr="00F469EF" w:rsidRDefault="002F03C9" w:rsidP="002F03C9">
      <w:pPr>
        <w:autoSpaceDE w:val="0"/>
        <w:autoSpaceDN w:val="0"/>
        <w:adjustRightInd w:val="0"/>
        <w:spacing w:before="220" w:after="0" w:line="240" w:lineRule="auto"/>
        <w:ind w:firstLine="540"/>
        <w:jc w:val="both"/>
        <w:rPr>
          <w:rFonts w:ascii="Times New Roman" w:hAnsi="Times New Roman" w:cs="Times New Roman"/>
          <w:sz w:val="24"/>
          <w:szCs w:val="24"/>
        </w:rPr>
      </w:pPr>
      <w:r w:rsidRPr="00F469EF">
        <w:rPr>
          <w:rFonts w:ascii="Times New Roman" w:hAnsi="Times New Roman" w:cs="Times New Roman"/>
          <w:sz w:val="24"/>
          <w:szCs w:val="24"/>
        </w:rPr>
        <w:t>Также не будут облагать налогом на прибыль результаты работ по переносу, переустройству объектов основных средств, принадлежащих налогоплательщику на праве собственности или оперативного управления, выполненных сторонними организациями в связи с созданием иного объекта (объектов) капитального строительства, находящегося в государственной или муниципальной собственности и финансируемого за счет бюджетных средств.</w:t>
      </w:r>
    </w:p>
    <w:p w:rsidR="00923903" w:rsidRPr="00F469EF" w:rsidRDefault="004C7638" w:rsidP="00F469EF">
      <w:pPr>
        <w:autoSpaceDE w:val="0"/>
        <w:autoSpaceDN w:val="0"/>
        <w:adjustRightInd w:val="0"/>
        <w:spacing w:before="240"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Обратите внимание </w:t>
      </w:r>
      <w:r>
        <w:rPr>
          <w:rFonts w:ascii="Times New Roman" w:hAnsi="Times New Roman" w:cs="Times New Roman"/>
          <w:bCs/>
          <w:sz w:val="24"/>
          <w:szCs w:val="24"/>
        </w:rPr>
        <w:t>е</w:t>
      </w:r>
      <w:r w:rsidR="00B11F06" w:rsidRPr="004C7638">
        <w:rPr>
          <w:rFonts w:ascii="Times New Roman" w:hAnsi="Times New Roman" w:cs="Times New Roman"/>
          <w:bCs/>
          <w:sz w:val="24"/>
          <w:szCs w:val="24"/>
        </w:rPr>
        <w:t xml:space="preserve">ще </w:t>
      </w:r>
      <w:r>
        <w:rPr>
          <w:rFonts w:ascii="Times New Roman" w:hAnsi="Times New Roman" w:cs="Times New Roman"/>
          <w:bCs/>
          <w:sz w:val="24"/>
          <w:szCs w:val="24"/>
        </w:rPr>
        <w:t xml:space="preserve">на </w:t>
      </w:r>
      <w:r w:rsidR="00B11F06" w:rsidRPr="004C7638">
        <w:rPr>
          <w:rFonts w:ascii="Times New Roman" w:hAnsi="Times New Roman" w:cs="Times New Roman"/>
          <w:bCs/>
          <w:sz w:val="24"/>
          <w:szCs w:val="24"/>
        </w:rPr>
        <w:t>одно изменение, которое могут применить все налогоплательщики налога на прибыль:</w:t>
      </w:r>
      <w:r w:rsidR="00F469EF">
        <w:rPr>
          <w:rFonts w:ascii="Times New Roman" w:hAnsi="Times New Roman" w:cs="Times New Roman"/>
          <w:b/>
          <w:bCs/>
          <w:sz w:val="24"/>
          <w:szCs w:val="24"/>
        </w:rPr>
        <w:t xml:space="preserve"> </w:t>
      </w:r>
      <w:r w:rsidR="00923903" w:rsidRPr="00F469EF">
        <w:rPr>
          <w:rFonts w:ascii="Times New Roman" w:hAnsi="Times New Roman" w:cs="Times New Roman"/>
          <w:sz w:val="24"/>
          <w:szCs w:val="24"/>
        </w:rPr>
        <w:t xml:space="preserve">С 1 января 2019 года в расходах на оплату труда </w:t>
      </w:r>
      <w:hyperlink r:id="rId10" w:history="1">
        <w:r w:rsidR="00923903" w:rsidRPr="00F469EF">
          <w:rPr>
            <w:rFonts w:ascii="Times New Roman" w:hAnsi="Times New Roman" w:cs="Times New Roman"/>
            <w:sz w:val="24"/>
            <w:szCs w:val="24"/>
          </w:rPr>
          <w:t>разрешили учитывать</w:t>
        </w:r>
      </w:hyperlink>
      <w:r w:rsidR="00923903" w:rsidRPr="00F469EF">
        <w:rPr>
          <w:rFonts w:ascii="Times New Roman" w:hAnsi="Times New Roman" w:cs="Times New Roman"/>
          <w:sz w:val="24"/>
          <w:szCs w:val="24"/>
        </w:rPr>
        <w:t xml:space="preserve"> затраты</w:t>
      </w:r>
      <w:r w:rsidR="005C562C" w:rsidRPr="00F469EF">
        <w:rPr>
          <w:rFonts w:ascii="Times New Roman" w:hAnsi="Times New Roman" w:cs="Times New Roman"/>
          <w:sz w:val="24"/>
          <w:szCs w:val="24"/>
        </w:rPr>
        <w:t xml:space="preserve"> на отпуск</w:t>
      </w:r>
      <w:r w:rsidR="00B11F06" w:rsidRPr="00F469EF">
        <w:rPr>
          <w:rFonts w:ascii="Times New Roman" w:hAnsi="Times New Roman" w:cs="Times New Roman"/>
          <w:sz w:val="24"/>
          <w:szCs w:val="24"/>
        </w:rPr>
        <w:t>, так называемые «отпускные» расходы</w:t>
      </w:r>
      <w:r w:rsidR="004D64DC" w:rsidRPr="00F469EF">
        <w:rPr>
          <w:rFonts w:ascii="Times New Roman" w:hAnsi="Times New Roman" w:cs="Times New Roman"/>
          <w:sz w:val="24"/>
          <w:szCs w:val="24"/>
        </w:rPr>
        <w:t>:</w:t>
      </w:r>
    </w:p>
    <w:p w:rsidR="00923903" w:rsidRPr="00F469EF" w:rsidRDefault="00923903" w:rsidP="00F469EF">
      <w:pPr>
        <w:pStyle w:val="a3"/>
        <w:numPr>
          <w:ilvl w:val="0"/>
          <w:numId w:val="5"/>
        </w:numPr>
        <w:autoSpaceDE w:val="0"/>
        <w:autoSpaceDN w:val="0"/>
        <w:adjustRightInd w:val="0"/>
        <w:spacing w:before="240" w:after="0" w:line="240" w:lineRule="auto"/>
        <w:jc w:val="both"/>
        <w:rPr>
          <w:rFonts w:ascii="Times New Roman" w:hAnsi="Times New Roman" w:cs="Times New Roman"/>
          <w:sz w:val="24"/>
          <w:szCs w:val="24"/>
        </w:rPr>
      </w:pPr>
      <w:r w:rsidRPr="00F469EF">
        <w:rPr>
          <w:rFonts w:ascii="Times New Roman" w:hAnsi="Times New Roman" w:cs="Times New Roman"/>
          <w:sz w:val="24"/>
          <w:szCs w:val="24"/>
        </w:rPr>
        <w:t>на проезд;</w:t>
      </w:r>
    </w:p>
    <w:p w:rsidR="00923903" w:rsidRPr="00F469EF" w:rsidRDefault="00923903" w:rsidP="00F469EF">
      <w:pPr>
        <w:pStyle w:val="a3"/>
        <w:numPr>
          <w:ilvl w:val="0"/>
          <w:numId w:val="5"/>
        </w:numPr>
        <w:autoSpaceDE w:val="0"/>
        <w:autoSpaceDN w:val="0"/>
        <w:adjustRightInd w:val="0"/>
        <w:spacing w:before="240" w:after="0" w:line="240" w:lineRule="auto"/>
        <w:jc w:val="both"/>
        <w:rPr>
          <w:rFonts w:ascii="Times New Roman" w:hAnsi="Times New Roman" w:cs="Times New Roman"/>
          <w:sz w:val="24"/>
          <w:szCs w:val="24"/>
        </w:rPr>
      </w:pPr>
      <w:r w:rsidRPr="00F469EF">
        <w:rPr>
          <w:rFonts w:ascii="Times New Roman" w:hAnsi="Times New Roman" w:cs="Times New Roman"/>
          <w:sz w:val="24"/>
          <w:szCs w:val="24"/>
        </w:rPr>
        <w:t>проживание и питание, если оно включено в стоимость;</w:t>
      </w:r>
    </w:p>
    <w:p w:rsidR="00923903" w:rsidRPr="00F469EF" w:rsidRDefault="00923903" w:rsidP="00F469EF">
      <w:pPr>
        <w:pStyle w:val="a3"/>
        <w:numPr>
          <w:ilvl w:val="0"/>
          <w:numId w:val="5"/>
        </w:numPr>
        <w:autoSpaceDE w:val="0"/>
        <w:autoSpaceDN w:val="0"/>
        <w:adjustRightInd w:val="0"/>
        <w:spacing w:before="240" w:after="0" w:line="240" w:lineRule="auto"/>
        <w:jc w:val="both"/>
        <w:rPr>
          <w:rFonts w:ascii="Times New Roman" w:hAnsi="Times New Roman" w:cs="Times New Roman"/>
          <w:sz w:val="24"/>
          <w:szCs w:val="24"/>
        </w:rPr>
      </w:pPr>
      <w:r w:rsidRPr="00F469EF">
        <w:rPr>
          <w:rFonts w:ascii="Times New Roman" w:hAnsi="Times New Roman" w:cs="Times New Roman"/>
          <w:sz w:val="24"/>
          <w:szCs w:val="24"/>
        </w:rPr>
        <w:t>санаторно-курортное обслуживание;</w:t>
      </w:r>
    </w:p>
    <w:p w:rsidR="00923903" w:rsidRPr="00F469EF" w:rsidRDefault="00923903" w:rsidP="00F469EF">
      <w:pPr>
        <w:pStyle w:val="a3"/>
        <w:numPr>
          <w:ilvl w:val="0"/>
          <w:numId w:val="5"/>
        </w:numPr>
        <w:autoSpaceDE w:val="0"/>
        <w:autoSpaceDN w:val="0"/>
        <w:adjustRightInd w:val="0"/>
        <w:spacing w:before="240" w:after="0" w:line="240" w:lineRule="auto"/>
        <w:jc w:val="both"/>
        <w:rPr>
          <w:rFonts w:ascii="Times New Roman" w:hAnsi="Times New Roman" w:cs="Times New Roman"/>
          <w:sz w:val="24"/>
          <w:szCs w:val="24"/>
        </w:rPr>
      </w:pPr>
      <w:r w:rsidRPr="00F469EF">
        <w:rPr>
          <w:rFonts w:ascii="Times New Roman" w:hAnsi="Times New Roman" w:cs="Times New Roman"/>
          <w:sz w:val="24"/>
          <w:szCs w:val="24"/>
        </w:rPr>
        <w:t>экскурсии.</w:t>
      </w:r>
    </w:p>
    <w:p w:rsidR="00923903" w:rsidRPr="00F469EF" w:rsidRDefault="00BB52C1" w:rsidP="00F469EF">
      <w:pPr>
        <w:autoSpaceDE w:val="0"/>
        <w:autoSpaceDN w:val="0"/>
        <w:adjustRightInd w:val="0"/>
        <w:spacing w:before="240" w:after="0" w:line="240" w:lineRule="auto"/>
        <w:ind w:firstLine="540"/>
        <w:jc w:val="both"/>
        <w:rPr>
          <w:rFonts w:ascii="Times New Roman" w:hAnsi="Times New Roman" w:cs="Times New Roman"/>
          <w:sz w:val="24"/>
          <w:szCs w:val="24"/>
        </w:rPr>
      </w:pPr>
      <w:r w:rsidRPr="00F469EF">
        <w:rPr>
          <w:rFonts w:ascii="Times New Roman" w:hAnsi="Times New Roman" w:cs="Times New Roman"/>
          <w:sz w:val="24"/>
          <w:szCs w:val="24"/>
        </w:rPr>
        <w:t xml:space="preserve">Но </w:t>
      </w:r>
      <w:r w:rsidR="00F469EF">
        <w:rPr>
          <w:rFonts w:ascii="Times New Roman" w:hAnsi="Times New Roman" w:cs="Times New Roman"/>
          <w:sz w:val="24"/>
          <w:szCs w:val="24"/>
        </w:rPr>
        <w:t>д</w:t>
      </w:r>
      <w:r w:rsidR="00923903" w:rsidRPr="00F469EF">
        <w:rPr>
          <w:rFonts w:ascii="Times New Roman" w:hAnsi="Times New Roman" w:cs="Times New Roman"/>
          <w:sz w:val="24"/>
          <w:szCs w:val="24"/>
        </w:rPr>
        <w:t>ля учета</w:t>
      </w:r>
      <w:r w:rsidRPr="00F469EF">
        <w:rPr>
          <w:rFonts w:ascii="Times New Roman" w:hAnsi="Times New Roman" w:cs="Times New Roman"/>
          <w:sz w:val="24"/>
          <w:szCs w:val="24"/>
        </w:rPr>
        <w:t xml:space="preserve"> этих</w:t>
      </w:r>
      <w:r w:rsidR="00923903" w:rsidRPr="00F469EF">
        <w:rPr>
          <w:rFonts w:ascii="Times New Roman" w:hAnsi="Times New Roman" w:cs="Times New Roman"/>
          <w:sz w:val="24"/>
          <w:szCs w:val="24"/>
        </w:rPr>
        <w:t xml:space="preserve"> затрат нужен договор между работодателем и туроператором или турагентом. Если организация заключила договор напрямую с исполнителем услуг, например с отелем, учесть расходы нельзя.</w:t>
      </w:r>
      <w:r w:rsidR="00F469EF">
        <w:rPr>
          <w:rFonts w:ascii="Times New Roman" w:hAnsi="Times New Roman" w:cs="Times New Roman"/>
          <w:sz w:val="24"/>
          <w:szCs w:val="24"/>
        </w:rPr>
        <w:t xml:space="preserve"> </w:t>
      </w:r>
      <w:r w:rsidR="00923903" w:rsidRPr="00F469EF">
        <w:rPr>
          <w:rFonts w:ascii="Times New Roman" w:hAnsi="Times New Roman" w:cs="Times New Roman"/>
          <w:sz w:val="24"/>
          <w:szCs w:val="24"/>
        </w:rPr>
        <w:t>Путевку можно приобрести для работников, их супругов, родителей, а также детей или подопечных в возрасте до 18 лет (если они учатся по очной форме - до 24 лет).</w:t>
      </w:r>
    </w:p>
    <w:p w:rsidR="00923903" w:rsidRPr="00F469EF" w:rsidRDefault="00F16EA5" w:rsidP="00923903">
      <w:pPr>
        <w:autoSpaceDE w:val="0"/>
        <w:autoSpaceDN w:val="0"/>
        <w:adjustRightInd w:val="0"/>
        <w:spacing w:before="240" w:after="0" w:line="240" w:lineRule="auto"/>
        <w:ind w:firstLine="540"/>
        <w:jc w:val="both"/>
        <w:rPr>
          <w:rFonts w:ascii="Times New Roman" w:hAnsi="Times New Roman" w:cs="Times New Roman"/>
          <w:sz w:val="24"/>
          <w:szCs w:val="24"/>
        </w:rPr>
      </w:pPr>
      <w:r w:rsidRPr="00F469EF">
        <w:rPr>
          <w:rFonts w:ascii="Times New Roman" w:hAnsi="Times New Roman" w:cs="Times New Roman"/>
          <w:b/>
          <w:sz w:val="24"/>
          <w:szCs w:val="24"/>
        </w:rPr>
        <w:t>Обратите внимание</w:t>
      </w:r>
      <w:r w:rsidRPr="00F469EF">
        <w:rPr>
          <w:rFonts w:ascii="Times New Roman" w:hAnsi="Times New Roman" w:cs="Times New Roman"/>
          <w:sz w:val="24"/>
          <w:szCs w:val="24"/>
        </w:rPr>
        <w:t>: з</w:t>
      </w:r>
      <w:r w:rsidR="00F469EF">
        <w:rPr>
          <w:rFonts w:ascii="Times New Roman" w:hAnsi="Times New Roman" w:cs="Times New Roman"/>
          <w:sz w:val="24"/>
          <w:szCs w:val="24"/>
        </w:rPr>
        <w:t>атраты нормируются -</w:t>
      </w:r>
      <w:r w:rsidR="00923903" w:rsidRPr="00F469EF">
        <w:rPr>
          <w:rFonts w:ascii="Times New Roman" w:hAnsi="Times New Roman" w:cs="Times New Roman"/>
          <w:sz w:val="24"/>
          <w:szCs w:val="24"/>
        </w:rPr>
        <w:t xml:space="preserve"> не более </w:t>
      </w:r>
      <w:hyperlink r:id="rId11" w:history="1">
        <w:r w:rsidR="00923903" w:rsidRPr="00F469EF">
          <w:rPr>
            <w:rFonts w:ascii="Times New Roman" w:hAnsi="Times New Roman" w:cs="Times New Roman"/>
            <w:sz w:val="24"/>
            <w:szCs w:val="24"/>
          </w:rPr>
          <w:t>50 тыс. руб</w:t>
        </w:r>
      </w:hyperlink>
      <w:r w:rsidR="00923903" w:rsidRPr="00F469EF">
        <w:rPr>
          <w:rFonts w:ascii="Times New Roman" w:hAnsi="Times New Roman" w:cs="Times New Roman"/>
          <w:sz w:val="24"/>
          <w:szCs w:val="24"/>
        </w:rPr>
        <w:t xml:space="preserve">. в год на каждого туриста. При этом общая сумма затрат организации на путевки, ДМС и оплату медуслуг работникам не должна превысить </w:t>
      </w:r>
      <w:hyperlink r:id="rId12" w:history="1">
        <w:r w:rsidR="00923903" w:rsidRPr="00F469EF">
          <w:rPr>
            <w:rFonts w:ascii="Times New Roman" w:hAnsi="Times New Roman" w:cs="Times New Roman"/>
            <w:sz w:val="24"/>
            <w:szCs w:val="24"/>
          </w:rPr>
          <w:t>6%</w:t>
        </w:r>
      </w:hyperlink>
      <w:r w:rsidR="00923903" w:rsidRPr="00F469EF">
        <w:rPr>
          <w:rFonts w:ascii="Times New Roman" w:hAnsi="Times New Roman" w:cs="Times New Roman"/>
          <w:sz w:val="24"/>
          <w:szCs w:val="24"/>
        </w:rPr>
        <w:t xml:space="preserve"> от суммы расходов на оплату труда.</w:t>
      </w:r>
    </w:p>
    <w:p w:rsidR="00923903" w:rsidRPr="00F469EF" w:rsidRDefault="00F20B76" w:rsidP="00923903">
      <w:pPr>
        <w:autoSpaceDE w:val="0"/>
        <w:autoSpaceDN w:val="0"/>
        <w:adjustRightInd w:val="0"/>
        <w:spacing w:after="0" w:line="240" w:lineRule="auto"/>
        <w:ind w:firstLine="540"/>
        <w:jc w:val="both"/>
        <w:rPr>
          <w:rFonts w:ascii="Times New Roman" w:hAnsi="Times New Roman" w:cs="Times New Roman"/>
          <w:sz w:val="24"/>
          <w:szCs w:val="24"/>
        </w:rPr>
      </w:pPr>
      <w:hyperlink r:id="rId13" w:history="1">
        <w:r w:rsidR="00923903" w:rsidRPr="00F469EF">
          <w:rPr>
            <w:rFonts w:ascii="Times New Roman" w:hAnsi="Times New Roman" w:cs="Times New Roman"/>
            <w:sz w:val="24"/>
            <w:szCs w:val="24"/>
          </w:rPr>
          <w:t>Раньше</w:t>
        </w:r>
      </w:hyperlink>
      <w:r w:rsidR="00923903" w:rsidRPr="00F469EF">
        <w:rPr>
          <w:rFonts w:ascii="Times New Roman" w:hAnsi="Times New Roman" w:cs="Times New Roman"/>
          <w:sz w:val="24"/>
          <w:szCs w:val="24"/>
        </w:rPr>
        <w:t xml:space="preserve"> регионы </w:t>
      </w:r>
      <w:r w:rsidR="00923903" w:rsidRPr="00F469EF">
        <w:rPr>
          <w:rFonts w:ascii="Times New Roman" w:hAnsi="Times New Roman" w:cs="Times New Roman"/>
          <w:bCs/>
          <w:sz w:val="24"/>
          <w:szCs w:val="24"/>
        </w:rPr>
        <w:t>по своему желанию</w:t>
      </w:r>
      <w:r w:rsidR="00923903" w:rsidRPr="00F469EF">
        <w:rPr>
          <w:rFonts w:ascii="Times New Roman" w:hAnsi="Times New Roman" w:cs="Times New Roman"/>
          <w:sz w:val="24"/>
          <w:szCs w:val="24"/>
        </w:rPr>
        <w:t xml:space="preserve"> могли вводить ставки налога на прибыль, поступающего в их бюджеты, ниже </w:t>
      </w:r>
      <w:hyperlink r:id="rId14" w:history="1">
        <w:r w:rsidR="00923903" w:rsidRPr="00F469EF">
          <w:rPr>
            <w:rFonts w:ascii="Times New Roman" w:hAnsi="Times New Roman" w:cs="Times New Roman"/>
            <w:sz w:val="24"/>
            <w:szCs w:val="24"/>
          </w:rPr>
          <w:t>17%</w:t>
        </w:r>
      </w:hyperlink>
      <w:r w:rsidR="00923903" w:rsidRPr="00F469EF">
        <w:rPr>
          <w:rFonts w:ascii="Times New Roman" w:hAnsi="Times New Roman" w:cs="Times New Roman"/>
          <w:sz w:val="24"/>
          <w:szCs w:val="24"/>
        </w:rPr>
        <w:t xml:space="preserve">. С 2019 года действует </w:t>
      </w:r>
      <w:hyperlink r:id="rId15" w:history="1">
        <w:r w:rsidR="00923903" w:rsidRPr="00F469EF">
          <w:rPr>
            <w:rFonts w:ascii="Times New Roman" w:hAnsi="Times New Roman" w:cs="Times New Roman"/>
            <w:sz w:val="24"/>
            <w:szCs w:val="24"/>
          </w:rPr>
          <w:t>ограничение</w:t>
        </w:r>
      </w:hyperlink>
      <w:r w:rsidR="00923903" w:rsidRPr="00F469EF">
        <w:rPr>
          <w:rFonts w:ascii="Times New Roman" w:hAnsi="Times New Roman" w:cs="Times New Roman"/>
          <w:sz w:val="24"/>
          <w:szCs w:val="24"/>
        </w:rPr>
        <w:t xml:space="preserve">: принимать законы о новом снижении ставки можно, только </w:t>
      </w:r>
      <w:r w:rsidR="00923903" w:rsidRPr="00F469EF">
        <w:rPr>
          <w:rFonts w:ascii="Times New Roman" w:hAnsi="Times New Roman" w:cs="Times New Roman"/>
          <w:bCs/>
          <w:sz w:val="24"/>
          <w:szCs w:val="24"/>
        </w:rPr>
        <w:t>если на это указано в кодексе</w:t>
      </w:r>
      <w:r w:rsidR="00923903" w:rsidRPr="00F469EF">
        <w:rPr>
          <w:rFonts w:ascii="Times New Roman" w:hAnsi="Times New Roman" w:cs="Times New Roman"/>
          <w:sz w:val="24"/>
          <w:szCs w:val="24"/>
        </w:rPr>
        <w:t xml:space="preserve"> (например, </w:t>
      </w:r>
      <w:hyperlink r:id="rId16" w:history="1">
        <w:r w:rsidR="00923903" w:rsidRPr="00F469EF">
          <w:rPr>
            <w:rFonts w:ascii="Times New Roman" w:hAnsi="Times New Roman" w:cs="Times New Roman"/>
            <w:sz w:val="24"/>
            <w:szCs w:val="24"/>
          </w:rPr>
          <w:t>для резидентов ОЭЗ</w:t>
        </w:r>
      </w:hyperlink>
      <w:r w:rsidR="00F16EA5" w:rsidRPr="00F469EF">
        <w:rPr>
          <w:rFonts w:ascii="Times New Roman" w:hAnsi="Times New Roman" w:cs="Times New Roman"/>
          <w:sz w:val="24"/>
          <w:szCs w:val="24"/>
        </w:rPr>
        <w:t>)</w:t>
      </w:r>
      <w:r w:rsidR="00B11F06" w:rsidRPr="00F469EF">
        <w:rPr>
          <w:rFonts w:ascii="Times New Roman" w:hAnsi="Times New Roman" w:cs="Times New Roman"/>
          <w:sz w:val="24"/>
          <w:szCs w:val="24"/>
        </w:rPr>
        <w:t>.</w:t>
      </w:r>
      <w:r w:rsidR="00151541" w:rsidRPr="00F469EF">
        <w:rPr>
          <w:rFonts w:ascii="Times New Roman" w:hAnsi="Times New Roman" w:cs="Times New Roman"/>
          <w:sz w:val="24"/>
          <w:szCs w:val="24"/>
        </w:rPr>
        <w:t xml:space="preserve"> </w:t>
      </w:r>
    </w:p>
    <w:p w:rsidR="00F469EF" w:rsidRDefault="00151541" w:rsidP="00F469EF">
      <w:pPr>
        <w:autoSpaceDE w:val="0"/>
        <w:autoSpaceDN w:val="0"/>
        <w:adjustRightInd w:val="0"/>
        <w:spacing w:before="220" w:after="0" w:line="240" w:lineRule="auto"/>
        <w:ind w:firstLine="540"/>
        <w:jc w:val="both"/>
        <w:rPr>
          <w:rFonts w:ascii="Times New Roman" w:hAnsi="Times New Roman" w:cs="Times New Roman"/>
          <w:sz w:val="24"/>
          <w:szCs w:val="24"/>
        </w:rPr>
      </w:pPr>
      <w:r w:rsidRPr="00F469EF">
        <w:rPr>
          <w:rFonts w:ascii="Times New Roman" w:hAnsi="Times New Roman" w:cs="Times New Roman"/>
          <w:sz w:val="24"/>
          <w:szCs w:val="24"/>
        </w:rPr>
        <w:t xml:space="preserve">Пониженные ставки, которые были введены до </w:t>
      </w:r>
      <w:hyperlink r:id="rId17" w:history="1">
        <w:r w:rsidRPr="00F469EF">
          <w:rPr>
            <w:rFonts w:ascii="Times New Roman" w:hAnsi="Times New Roman" w:cs="Times New Roman"/>
            <w:sz w:val="24"/>
            <w:szCs w:val="24"/>
          </w:rPr>
          <w:t>3 сентября 2018 года</w:t>
        </w:r>
      </w:hyperlink>
      <w:r w:rsidRPr="00F469EF">
        <w:rPr>
          <w:rFonts w:ascii="Times New Roman" w:hAnsi="Times New Roman" w:cs="Times New Roman"/>
          <w:sz w:val="24"/>
          <w:szCs w:val="24"/>
        </w:rPr>
        <w:t xml:space="preserve">, действуют </w:t>
      </w:r>
      <w:hyperlink r:id="rId18" w:history="1">
        <w:r w:rsidRPr="00F469EF">
          <w:rPr>
            <w:rFonts w:ascii="Times New Roman" w:hAnsi="Times New Roman" w:cs="Times New Roman"/>
            <w:sz w:val="24"/>
            <w:szCs w:val="24"/>
          </w:rPr>
          <w:t>максимум</w:t>
        </w:r>
      </w:hyperlink>
      <w:r w:rsidRPr="00F469EF">
        <w:rPr>
          <w:rFonts w:ascii="Times New Roman" w:hAnsi="Times New Roman" w:cs="Times New Roman"/>
          <w:sz w:val="24"/>
          <w:szCs w:val="24"/>
        </w:rPr>
        <w:t xml:space="preserve"> до конца 2022 года. Но регион может передумать и поднять их раньше.</w:t>
      </w:r>
      <w:r w:rsidR="00F469EF">
        <w:rPr>
          <w:rFonts w:ascii="Times New Roman" w:hAnsi="Times New Roman" w:cs="Times New Roman"/>
          <w:sz w:val="24"/>
          <w:szCs w:val="24"/>
        </w:rPr>
        <w:t xml:space="preserve"> </w:t>
      </w:r>
      <w:r w:rsidRPr="00F469EF">
        <w:rPr>
          <w:rFonts w:ascii="Times New Roman" w:hAnsi="Times New Roman" w:cs="Times New Roman"/>
          <w:sz w:val="24"/>
          <w:szCs w:val="24"/>
        </w:rPr>
        <w:t xml:space="preserve">В </w:t>
      </w:r>
      <w:r w:rsidR="00F469EF">
        <w:rPr>
          <w:rFonts w:ascii="Times New Roman" w:hAnsi="Times New Roman" w:cs="Times New Roman"/>
          <w:sz w:val="24"/>
          <w:szCs w:val="24"/>
        </w:rPr>
        <w:t xml:space="preserve"> Карачаево-Черкесии </w:t>
      </w:r>
      <w:r w:rsidR="002E49F7" w:rsidRPr="00F469EF">
        <w:rPr>
          <w:rFonts w:ascii="Times New Roman" w:hAnsi="Times New Roman" w:cs="Times New Roman"/>
          <w:sz w:val="24"/>
          <w:szCs w:val="24"/>
        </w:rPr>
        <w:t>до</w:t>
      </w:r>
      <w:r w:rsidR="00BB52C1" w:rsidRPr="00F469EF">
        <w:rPr>
          <w:rFonts w:ascii="Times New Roman" w:hAnsi="Times New Roman" w:cs="Times New Roman"/>
          <w:sz w:val="24"/>
          <w:szCs w:val="24"/>
        </w:rPr>
        <w:t xml:space="preserve"> 2020 года</w:t>
      </w:r>
      <w:r w:rsidR="00F16EA5" w:rsidRPr="00F469EF">
        <w:rPr>
          <w:rFonts w:ascii="Times New Roman" w:hAnsi="Times New Roman" w:cs="Times New Roman"/>
          <w:sz w:val="24"/>
          <w:szCs w:val="24"/>
        </w:rPr>
        <w:t xml:space="preserve"> </w:t>
      </w:r>
      <w:r w:rsidR="00BB52C1" w:rsidRPr="00F469EF">
        <w:rPr>
          <w:rFonts w:ascii="Times New Roman" w:hAnsi="Times New Roman" w:cs="Times New Roman"/>
          <w:sz w:val="24"/>
          <w:szCs w:val="24"/>
        </w:rPr>
        <w:t>п</w:t>
      </w:r>
      <w:r w:rsidR="00F469EF">
        <w:rPr>
          <w:rFonts w:ascii="Times New Roman" w:hAnsi="Times New Roman" w:cs="Times New Roman"/>
          <w:sz w:val="24"/>
          <w:szCs w:val="24"/>
        </w:rPr>
        <w:t xml:space="preserve">родолжат действовать пониженные, </w:t>
      </w:r>
      <w:r w:rsidR="00BB52C1" w:rsidRPr="00F469EF">
        <w:rPr>
          <w:rFonts w:ascii="Times New Roman" w:hAnsi="Times New Roman" w:cs="Times New Roman"/>
          <w:sz w:val="24"/>
          <w:szCs w:val="24"/>
        </w:rPr>
        <w:t>до 12,5%</w:t>
      </w:r>
      <w:r w:rsidR="00F469EF">
        <w:rPr>
          <w:rFonts w:ascii="Times New Roman" w:hAnsi="Times New Roman" w:cs="Times New Roman"/>
          <w:sz w:val="24"/>
          <w:szCs w:val="24"/>
        </w:rPr>
        <w:t xml:space="preserve">, </w:t>
      </w:r>
      <w:r w:rsidR="00BB52C1" w:rsidRPr="00F469EF">
        <w:rPr>
          <w:rFonts w:ascii="Times New Roman" w:hAnsi="Times New Roman" w:cs="Times New Roman"/>
          <w:sz w:val="24"/>
          <w:szCs w:val="24"/>
        </w:rPr>
        <w:t xml:space="preserve"> ставки по налогу на прибыль организаций для приоритетных инвесторов республики, резидентов особой экономической зоны, общественных объединений инвалидов, некоммерческих организаций - исполнителей общественно полезных услуг, налогоплательщиков - участников региональных специальных инвестиционных контрактов, а также пониженная до 0% ставка налога на прибыль для участников федеральных специальных инвестиционных контрактов.</w:t>
      </w:r>
    </w:p>
    <w:p w:rsidR="00923903" w:rsidRPr="00F469EF" w:rsidRDefault="00923903" w:rsidP="00F469EF">
      <w:pPr>
        <w:autoSpaceDE w:val="0"/>
        <w:autoSpaceDN w:val="0"/>
        <w:adjustRightInd w:val="0"/>
        <w:spacing w:before="220" w:after="0" w:line="240" w:lineRule="auto"/>
        <w:ind w:firstLine="540"/>
        <w:jc w:val="both"/>
        <w:rPr>
          <w:rFonts w:ascii="Times New Roman" w:hAnsi="Times New Roman" w:cs="Times New Roman"/>
          <w:sz w:val="24"/>
          <w:szCs w:val="24"/>
        </w:rPr>
      </w:pPr>
      <w:r w:rsidRPr="00F469EF">
        <w:rPr>
          <w:rFonts w:ascii="Times New Roman" w:hAnsi="Times New Roman" w:cs="Times New Roman"/>
          <w:sz w:val="24"/>
          <w:szCs w:val="24"/>
        </w:rPr>
        <w:t xml:space="preserve">Если льгот нет, то в федеральный бюджет необходимо зачислять сумму налога на прибыль, исчисленную по ставке 3%, в бюджеты субъектов РФ - по ставке 17%. Это распределение, временно введенное </w:t>
      </w:r>
      <w:hyperlink r:id="rId19" w:history="1">
        <w:r w:rsidRPr="00F469EF">
          <w:rPr>
            <w:rFonts w:ascii="Times New Roman" w:hAnsi="Times New Roman" w:cs="Times New Roman"/>
            <w:sz w:val="24"/>
            <w:szCs w:val="24"/>
          </w:rPr>
          <w:t>с 2017 года</w:t>
        </w:r>
      </w:hyperlink>
      <w:r w:rsidRPr="00F469EF">
        <w:rPr>
          <w:rFonts w:ascii="Times New Roman" w:hAnsi="Times New Roman" w:cs="Times New Roman"/>
          <w:sz w:val="24"/>
          <w:szCs w:val="24"/>
        </w:rPr>
        <w:t xml:space="preserve">, продлили </w:t>
      </w:r>
      <w:hyperlink r:id="rId20" w:history="1">
        <w:r w:rsidRPr="00F469EF">
          <w:rPr>
            <w:rFonts w:ascii="Times New Roman" w:hAnsi="Times New Roman" w:cs="Times New Roman"/>
            <w:sz w:val="24"/>
            <w:szCs w:val="24"/>
          </w:rPr>
          <w:t>до 2024 года</w:t>
        </w:r>
      </w:hyperlink>
      <w:r w:rsidRPr="00F469EF">
        <w:rPr>
          <w:rFonts w:ascii="Times New Roman" w:hAnsi="Times New Roman" w:cs="Times New Roman"/>
          <w:sz w:val="24"/>
          <w:szCs w:val="24"/>
        </w:rPr>
        <w:t xml:space="preserve"> включительно.</w:t>
      </w:r>
    </w:p>
    <w:p w:rsidR="00151541" w:rsidRPr="00F469EF" w:rsidRDefault="00151541">
      <w:pPr>
        <w:rPr>
          <w:rFonts w:ascii="Times New Roman" w:hAnsi="Times New Roman" w:cs="Times New Roman"/>
          <w:b/>
          <w:sz w:val="24"/>
          <w:szCs w:val="24"/>
        </w:rPr>
      </w:pPr>
    </w:p>
    <w:p w:rsidR="002F03C9" w:rsidRPr="00F469EF" w:rsidRDefault="002E49F7">
      <w:pPr>
        <w:rPr>
          <w:rFonts w:ascii="Times New Roman" w:hAnsi="Times New Roman" w:cs="Times New Roman"/>
          <w:b/>
          <w:sz w:val="24"/>
          <w:szCs w:val="24"/>
        </w:rPr>
      </w:pPr>
      <w:r w:rsidRPr="00F469EF">
        <w:rPr>
          <w:rFonts w:ascii="Times New Roman" w:hAnsi="Times New Roman" w:cs="Times New Roman"/>
          <w:b/>
          <w:sz w:val="24"/>
          <w:szCs w:val="24"/>
        </w:rPr>
        <w:t>По спецналоговым режимам изменения коснулись коэффициентов-дефляторов</w:t>
      </w:r>
    </w:p>
    <w:p w:rsidR="00A5153E" w:rsidRPr="00F469EF" w:rsidRDefault="002E49F7" w:rsidP="00A5153E">
      <w:pPr>
        <w:autoSpaceDE w:val="0"/>
        <w:autoSpaceDN w:val="0"/>
        <w:adjustRightInd w:val="0"/>
        <w:spacing w:after="0" w:line="240" w:lineRule="auto"/>
        <w:ind w:firstLine="540"/>
        <w:jc w:val="both"/>
        <w:rPr>
          <w:rFonts w:ascii="Times New Roman" w:hAnsi="Times New Roman" w:cs="Times New Roman"/>
          <w:bCs/>
          <w:sz w:val="24"/>
          <w:szCs w:val="24"/>
        </w:rPr>
      </w:pPr>
      <w:r w:rsidRPr="00F469EF">
        <w:rPr>
          <w:rFonts w:ascii="Times New Roman" w:hAnsi="Times New Roman" w:cs="Times New Roman"/>
          <w:bCs/>
          <w:sz w:val="24"/>
          <w:szCs w:val="24"/>
        </w:rPr>
        <w:lastRenderedPageBreak/>
        <w:t>Они</w:t>
      </w:r>
      <w:r w:rsidR="00A5153E" w:rsidRPr="00F469EF">
        <w:rPr>
          <w:rFonts w:ascii="Times New Roman" w:hAnsi="Times New Roman" w:cs="Times New Roman"/>
          <w:bCs/>
          <w:sz w:val="24"/>
          <w:szCs w:val="24"/>
        </w:rPr>
        <w:t xml:space="preserve"> установлены в следующих размерах:</w:t>
      </w:r>
    </w:p>
    <w:p w:rsidR="00A5153E" w:rsidRPr="00F469EF" w:rsidRDefault="00A5153E" w:rsidP="00F469EF">
      <w:pPr>
        <w:pStyle w:val="a3"/>
        <w:numPr>
          <w:ilvl w:val="0"/>
          <w:numId w:val="6"/>
        </w:numPr>
        <w:autoSpaceDE w:val="0"/>
        <w:autoSpaceDN w:val="0"/>
        <w:adjustRightInd w:val="0"/>
        <w:spacing w:before="280" w:after="0" w:line="240" w:lineRule="auto"/>
        <w:jc w:val="both"/>
        <w:rPr>
          <w:rFonts w:ascii="Times New Roman" w:hAnsi="Times New Roman" w:cs="Times New Roman"/>
          <w:bCs/>
          <w:sz w:val="24"/>
          <w:szCs w:val="24"/>
        </w:rPr>
      </w:pPr>
      <w:r w:rsidRPr="00F469EF">
        <w:rPr>
          <w:rFonts w:ascii="Times New Roman" w:hAnsi="Times New Roman" w:cs="Times New Roman"/>
          <w:bCs/>
          <w:sz w:val="24"/>
          <w:szCs w:val="24"/>
        </w:rPr>
        <w:t>для исчисления ЕНВД - 1,915;</w:t>
      </w:r>
    </w:p>
    <w:p w:rsidR="00A5153E" w:rsidRPr="00F469EF" w:rsidRDefault="00A5153E" w:rsidP="00F469EF">
      <w:pPr>
        <w:pStyle w:val="a3"/>
        <w:numPr>
          <w:ilvl w:val="0"/>
          <w:numId w:val="6"/>
        </w:numPr>
        <w:autoSpaceDE w:val="0"/>
        <w:autoSpaceDN w:val="0"/>
        <w:adjustRightInd w:val="0"/>
        <w:spacing w:before="280" w:after="0" w:line="240" w:lineRule="auto"/>
        <w:jc w:val="both"/>
        <w:rPr>
          <w:rFonts w:ascii="Times New Roman" w:hAnsi="Times New Roman" w:cs="Times New Roman"/>
          <w:bCs/>
          <w:sz w:val="24"/>
          <w:szCs w:val="24"/>
        </w:rPr>
      </w:pPr>
      <w:r w:rsidRPr="00F469EF">
        <w:rPr>
          <w:rFonts w:ascii="Times New Roman" w:hAnsi="Times New Roman" w:cs="Times New Roman"/>
          <w:bCs/>
          <w:sz w:val="24"/>
          <w:szCs w:val="24"/>
        </w:rPr>
        <w:t>для применения ПСН - 1,518;</w:t>
      </w:r>
    </w:p>
    <w:p w:rsidR="00A5153E" w:rsidRPr="00F469EF" w:rsidRDefault="00A5153E" w:rsidP="00F469EF">
      <w:pPr>
        <w:pStyle w:val="a3"/>
        <w:numPr>
          <w:ilvl w:val="0"/>
          <w:numId w:val="6"/>
        </w:numPr>
        <w:autoSpaceDE w:val="0"/>
        <w:autoSpaceDN w:val="0"/>
        <w:adjustRightInd w:val="0"/>
        <w:spacing w:before="280" w:after="0" w:line="240" w:lineRule="auto"/>
        <w:jc w:val="both"/>
        <w:rPr>
          <w:rFonts w:ascii="Times New Roman" w:hAnsi="Times New Roman" w:cs="Times New Roman"/>
          <w:bCs/>
          <w:sz w:val="24"/>
          <w:szCs w:val="24"/>
        </w:rPr>
      </w:pPr>
      <w:r w:rsidRPr="00F469EF">
        <w:rPr>
          <w:rFonts w:ascii="Times New Roman" w:hAnsi="Times New Roman" w:cs="Times New Roman"/>
          <w:bCs/>
          <w:sz w:val="24"/>
          <w:szCs w:val="24"/>
        </w:rPr>
        <w:t xml:space="preserve">для целей применения УСН - 1,518 </w:t>
      </w:r>
    </w:p>
    <w:p w:rsidR="00923903" w:rsidRPr="00F469EF" w:rsidRDefault="00923903" w:rsidP="00923903">
      <w:pPr>
        <w:autoSpaceDE w:val="0"/>
        <w:autoSpaceDN w:val="0"/>
        <w:adjustRightInd w:val="0"/>
        <w:spacing w:before="220" w:after="0" w:line="240" w:lineRule="auto"/>
        <w:ind w:firstLine="540"/>
        <w:jc w:val="both"/>
        <w:rPr>
          <w:rFonts w:ascii="Times New Roman" w:hAnsi="Times New Roman" w:cs="Times New Roman"/>
          <w:sz w:val="24"/>
          <w:szCs w:val="24"/>
        </w:rPr>
      </w:pPr>
      <w:r w:rsidRPr="00F469EF">
        <w:rPr>
          <w:rFonts w:ascii="Times New Roman" w:hAnsi="Times New Roman" w:cs="Times New Roman"/>
          <w:sz w:val="24"/>
          <w:szCs w:val="24"/>
        </w:rPr>
        <w:t xml:space="preserve">В целях применения </w:t>
      </w:r>
      <w:hyperlink r:id="rId21" w:history="1">
        <w:r w:rsidRPr="00F469EF">
          <w:rPr>
            <w:rFonts w:ascii="Times New Roman" w:hAnsi="Times New Roman" w:cs="Times New Roman"/>
            <w:sz w:val="24"/>
            <w:szCs w:val="24"/>
          </w:rPr>
          <w:t xml:space="preserve">главы НК РФ об </w:t>
        </w:r>
        <w:r w:rsidR="002E49F7" w:rsidRPr="00F469EF">
          <w:rPr>
            <w:rFonts w:ascii="Times New Roman" w:hAnsi="Times New Roman" w:cs="Times New Roman"/>
            <w:sz w:val="24"/>
            <w:szCs w:val="24"/>
          </w:rPr>
          <w:t>упрощенной</w:t>
        </w:r>
      </w:hyperlink>
      <w:r w:rsidR="002E49F7" w:rsidRPr="00F469EF">
        <w:rPr>
          <w:rFonts w:ascii="Times New Roman" w:hAnsi="Times New Roman" w:cs="Times New Roman"/>
          <w:sz w:val="24"/>
          <w:szCs w:val="24"/>
        </w:rPr>
        <w:t xml:space="preserve"> системе налогообложения</w:t>
      </w:r>
      <w:r w:rsidRPr="00F469EF">
        <w:rPr>
          <w:rFonts w:ascii="Times New Roman" w:hAnsi="Times New Roman" w:cs="Times New Roman"/>
          <w:sz w:val="24"/>
          <w:szCs w:val="24"/>
        </w:rPr>
        <w:t xml:space="preserve"> коэффициент-дефлятор устанавливается ежегодно. Обычно на него индексируется предельный размер доходов для перехода на УСН и сохранения права применять спецрежим. На 2017 - 2019 годы индексация </w:t>
      </w:r>
      <w:hyperlink r:id="rId22" w:history="1">
        <w:r w:rsidRPr="00F469EF">
          <w:rPr>
            <w:rFonts w:ascii="Times New Roman" w:hAnsi="Times New Roman" w:cs="Times New Roman"/>
            <w:sz w:val="24"/>
            <w:szCs w:val="24"/>
          </w:rPr>
          <w:t>приостановлена</w:t>
        </w:r>
      </w:hyperlink>
      <w:r w:rsidRPr="00F469EF">
        <w:rPr>
          <w:rFonts w:ascii="Times New Roman" w:hAnsi="Times New Roman" w:cs="Times New Roman"/>
          <w:sz w:val="24"/>
          <w:szCs w:val="24"/>
        </w:rPr>
        <w:t xml:space="preserve">. Поэтому установление коэффициента-дефлятора на 2019 год влияния на компании </w:t>
      </w:r>
      <w:r w:rsidRPr="00F469EF">
        <w:rPr>
          <w:rFonts w:ascii="Times New Roman" w:hAnsi="Times New Roman" w:cs="Times New Roman"/>
          <w:bCs/>
          <w:sz w:val="24"/>
          <w:szCs w:val="24"/>
        </w:rPr>
        <w:t>не оказывает</w:t>
      </w:r>
      <w:r w:rsidRPr="00F469EF">
        <w:rPr>
          <w:rFonts w:ascii="Times New Roman" w:hAnsi="Times New Roman" w:cs="Times New Roman"/>
          <w:sz w:val="24"/>
          <w:szCs w:val="24"/>
        </w:rPr>
        <w:t>. Лимиты по доходам для них следующие:</w:t>
      </w:r>
    </w:p>
    <w:p w:rsidR="00923903" w:rsidRPr="00F469EF" w:rsidRDefault="00923903" w:rsidP="00F469EF">
      <w:pPr>
        <w:pStyle w:val="a3"/>
        <w:numPr>
          <w:ilvl w:val="0"/>
          <w:numId w:val="7"/>
        </w:numPr>
        <w:autoSpaceDE w:val="0"/>
        <w:autoSpaceDN w:val="0"/>
        <w:adjustRightInd w:val="0"/>
        <w:spacing w:before="220" w:after="0" w:line="240" w:lineRule="auto"/>
        <w:jc w:val="both"/>
        <w:rPr>
          <w:rFonts w:ascii="Times New Roman" w:hAnsi="Times New Roman" w:cs="Times New Roman"/>
          <w:sz w:val="24"/>
          <w:szCs w:val="24"/>
        </w:rPr>
      </w:pPr>
      <w:r w:rsidRPr="00F469EF">
        <w:rPr>
          <w:rFonts w:ascii="Times New Roman" w:hAnsi="Times New Roman" w:cs="Times New Roman"/>
          <w:sz w:val="24"/>
          <w:szCs w:val="24"/>
        </w:rPr>
        <w:t xml:space="preserve">для применения УСН в 2019 году - не более </w:t>
      </w:r>
      <w:hyperlink r:id="rId23" w:history="1">
        <w:r w:rsidRPr="00F469EF">
          <w:rPr>
            <w:rFonts w:ascii="Times New Roman" w:hAnsi="Times New Roman" w:cs="Times New Roman"/>
            <w:sz w:val="24"/>
            <w:szCs w:val="24"/>
          </w:rPr>
          <w:t xml:space="preserve">150 </w:t>
        </w:r>
        <w:r w:rsidR="004D64DC" w:rsidRPr="00F469EF">
          <w:rPr>
            <w:rFonts w:ascii="Times New Roman" w:hAnsi="Times New Roman" w:cs="Times New Roman"/>
            <w:sz w:val="24"/>
            <w:szCs w:val="24"/>
          </w:rPr>
          <w:t>млн.</w:t>
        </w:r>
        <w:r w:rsidRPr="00F469EF">
          <w:rPr>
            <w:rFonts w:ascii="Times New Roman" w:hAnsi="Times New Roman" w:cs="Times New Roman"/>
            <w:sz w:val="24"/>
            <w:szCs w:val="24"/>
          </w:rPr>
          <w:t xml:space="preserve"> руб</w:t>
        </w:r>
      </w:hyperlink>
      <w:r w:rsidRPr="00F469EF">
        <w:rPr>
          <w:rFonts w:ascii="Times New Roman" w:hAnsi="Times New Roman" w:cs="Times New Roman"/>
          <w:sz w:val="24"/>
          <w:szCs w:val="24"/>
        </w:rPr>
        <w:t>. по итогам отчетного (налогового) периода;</w:t>
      </w:r>
    </w:p>
    <w:p w:rsidR="00923903" w:rsidRPr="00F469EF" w:rsidRDefault="00923903" w:rsidP="00F469EF">
      <w:pPr>
        <w:pStyle w:val="a3"/>
        <w:numPr>
          <w:ilvl w:val="0"/>
          <w:numId w:val="7"/>
        </w:numPr>
        <w:autoSpaceDE w:val="0"/>
        <w:autoSpaceDN w:val="0"/>
        <w:adjustRightInd w:val="0"/>
        <w:spacing w:before="220" w:after="0" w:line="240" w:lineRule="auto"/>
        <w:jc w:val="both"/>
        <w:rPr>
          <w:rFonts w:ascii="Times New Roman" w:hAnsi="Times New Roman" w:cs="Times New Roman"/>
          <w:sz w:val="24"/>
          <w:szCs w:val="24"/>
        </w:rPr>
      </w:pPr>
      <w:r w:rsidRPr="00F469EF">
        <w:rPr>
          <w:rFonts w:ascii="Times New Roman" w:hAnsi="Times New Roman" w:cs="Times New Roman"/>
          <w:sz w:val="24"/>
          <w:szCs w:val="24"/>
        </w:rPr>
        <w:t xml:space="preserve">для перехода на УСН с 2019 года - не более </w:t>
      </w:r>
      <w:hyperlink r:id="rId24" w:history="1">
        <w:r w:rsidRPr="00F469EF">
          <w:rPr>
            <w:rFonts w:ascii="Times New Roman" w:hAnsi="Times New Roman" w:cs="Times New Roman"/>
            <w:sz w:val="24"/>
            <w:szCs w:val="24"/>
          </w:rPr>
          <w:t xml:space="preserve">112,5 </w:t>
        </w:r>
        <w:r w:rsidR="004D64DC" w:rsidRPr="00F469EF">
          <w:rPr>
            <w:rFonts w:ascii="Times New Roman" w:hAnsi="Times New Roman" w:cs="Times New Roman"/>
            <w:sz w:val="24"/>
            <w:szCs w:val="24"/>
          </w:rPr>
          <w:t>млн.</w:t>
        </w:r>
        <w:r w:rsidRPr="00F469EF">
          <w:rPr>
            <w:rFonts w:ascii="Times New Roman" w:hAnsi="Times New Roman" w:cs="Times New Roman"/>
            <w:sz w:val="24"/>
            <w:szCs w:val="24"/>
          </w:rPr>
          <w:t xml:space="preserve"> руб</w:t>
        </w:r>
      </w:hyperlink>
      <w:r w:rsidRPr="00F469EF">
        <w:rPr>
          <w:rFonts w:ascii="Times New Roman" w:hAnsi="Times New Roman" w:cs="Times New Roman"/>
          <w:sz w:val="24"/>
          <w:szCs w:val="24"/>
        </w:rPr>
        <w:t>. за 9 месяцев 2018 года.</w:t>
      </w:r>
    </w:p>
    <w:p w:rsidR="005C562C" w:rsidRPr="00F469EF" w:rsidRDefault="005C562C" w:rsidP="00923903">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rsidR="00923903" w:rsidRPr="00F469EF" w:rsidRDefault="002E49F7" w:rsidP="0092390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F469EF">
        <w:rPr>
          <w:rFonts w:ascii="Times New Roman" w:hAnsi="Times New Roman" w:cs="Times New Roman"/>
          <w:b/>
          <w:bCs/>
          <w:sz w:val="24"/>
          <w:szCs w:val="24"/>
        </w:rPr>
        <w:t>По ЕНВД о</w:t>
      </w:r>
      <w:r w:rsidR="00923903" w:rsidRPr="00F469EF">
        <w:rPr>
          <w:rFonts w:ascii="Times New Roman" w:hAnsi="Times New Roman" w:cs="Times New Roman"/>
          <w:b/>
          <w:bCs/>
          <w:sz w:val="24"/>
          <w:szCs w:val="24"/>
        </w:rPr>
        <w:t xml:space="preserve">тчитываться </w:t>
      </w:r>
      <w:r w:rsidR="006F0572" w:rsidRPr="00F469EF">
        <w:rPr>
          <w:rFonts w:ascii="Times New Roman" w:hAnsi="Times New Roman" w:cs="Times New Roman"/>
          <w:b/>
          <w:bCs/>
          <w:sz w:val="24"/>
          <w:szCs w:val="24"/>
        </w:rPr>
        <w:t xml:space="preserve">с </w:t>
      </w:r>
      <w:r w:rsidR="00F469EF">
        <w:rPr>
          <w:rFonts w:ascii="Times New Roman" w:hAnsi="Times New Roman" w:cs="Times New Roman"/>
          <w:b/>
          <w:bCs/>
          <w:sz w:val="24"/>
          <w:szCs w:val="24"/>
        </w:rPr>
        <w:t xml:space="preserve">4 –го </w:t>
      </w:r>
      <w:r w:rsidR="00923903" w:rsidRPr="00F469EF">
        <w:rPr>
          <w:rFonts w:ascii="Times New Roman" w:hAnsi="Times New Roman" w:cs="Times New Roman"/>
          <w:b/>
          <w:bCs/>
          <w:sz w:val="24"/>
          <w:szCs w:val="24"/>
        </w:rPr>
        <w:t xml:space="preserve"> квартал</w:t>
      </w:r>
      <w:r w:rsidR="006F0572" w:rsidRPr="00F469EF">
        <w:rPr>
          <w:rFonts w:ascii="Times New Roman" w:hAnsi="Times New Roman" w:cs="Times New Roman"/>
          <w:b/>
          <w:bCs/>
          <w:sz w:val="24"/>
          <w:szCs w:val="24"/>
        </w:rPr>
        <w:t>а</w:t>
      </w:r>
      <w:r w:rsidR="00923903" w:rsidRPr="00F469EF">
        <w:rPr>
          <w:rFonts w:ascii="Times New Roman" w:hAnsi="Times New Roman" w:cs="Times New Roman"/>
          <w:b/>
          <w:bCs/>
          <w:sz w:val="24"/>
          <w:szCs w:val="24"/>
        </w:rPr>
        <w:t xml:space="preserve"> 2018 года нужно по новой форме</w:t>
      </w:r>
    </w:p>
    <w:p w:rsidR="00923903" w:rsidRPr="00F469EF" w:rsidRDefault="00923903" w:rsidP="00F469EF">
      <w:pPr>
        <w:autoSpaceDE w:val="0"/>
        <w:autoSpaceDN w:val="0"/>
        <w:adjustRightInd w:val="0"/>
        <w:spacing w:before="220" w:after="0" w:line="240" w:lineRule="auto"/>
        <w:ind w:firstLine="540"/>
        <w:jc w:val="both"/>
        <w:rPr>
          <w:rFonts w:ascii="Times New Roman" w:hAnsi="Times New Roman" w:cs="Times New Roman"/>
          <w:sz w:val="24"/>
          <w:szCs w:val="24"/>
        </w:rPr>
      </w:pPr>
      <w:r w:rsidRPr="00F469EF">
        <w:rPr>
          <w:rFonts w:ascii="Times New Roman" w:hAnsi="Times New Roman" w:cs="Times New Roman"/>
          <w:sz w:val="24"/>
          <w:szCs w:val="24"/>
        </w:rPr>
        <w:t xml:space="preserve">В новую форму добавили </w:t>
      </w:r>
      <w:hyperlink r:id="rId25" w:history="1">
        <w:r w:rsidRPr="00F469EF">
          <w:rPr>
            <w:rFonts w:ascii="Times New Roman" w:hAnsi="Times New Roman" w:cs="Times New Roman"/>
            <w:sz w:val="24"/>
            <w:szCs w:val="24"/>
          </w:rPr>
          <w:t>разд. 4</w:t>
        </w:r>
      </w:hyperlink>
      <w:r w:rsidRPr="00F469EF">
        <w:rPr>
          <w:rFonts w:ascii="Times New Roman" w:hAnsi="Times New Roman" w:cs="Times New Roman"/>
          <w:sz w:val="24"/>
          <w:szCs w:val="24"/>
        </w:rPr>
        <w:t xml:space="preserve"> для отражения расходов ИП на покупку онлайн-кассы. Эти затраты отражаются и в разд. 3 - для них добавили </w:t>
      </w:r>
      <w:hyperlink r:id="rId26" w:history="1">
        <w:r w:rsidRPr="00F469EF">
          <w:rPr>
            <w:rFonts w:ascii="Times New Roman" w:hAnsi="Times New Roman" w:cs="Times New Roman"/>
            <w:sz w:val="24"/>
            <w:szCs w:val="24"/>
          </w:rPr>
          <w:t>строку 040</w:t>
        </w:r>
      </w:hyperlink>
      <w:r w:rsidRPr="00F469EF">
        <w:rPr>
          <w:rFonts w:ascii="Times New Roman" w:hAnsi="Times New Roman" w:cs="Times New Roman"/>
          <w:sz w:val="24"/>
          <w:szCs w:val="24"/>
        </w:rPr>
        <w:t>.</w:t>
      </w:r>
      <w:r w:rsidR="00F469EF">
        <w:rPr>
          <w:rFonts w:ascii="Times New Roman" w:hAnsi="Times New Roman" w:cs="Times New Roman"/>
          <w:sz w:val="24"/>
          <w:szCs w:val="24"/>
        </w:rPr>
        <w:t xml:space="preserve"> </w:t>
      </w:r>
      <w:r w:rsidRPr="00F469EF">
        <w:rPr>
          <w:rFonts w:ascii="Times New Roman" w:hAnsi="Times New Roman" w:cs="Times New Roman"/>
          <w:sz w:val="24"/>
          <w:szCs w:val="24"/>
        </w:rPr>
        <w:t>Есть и другие несущественные различия форм, например: в них заменены штрих</w:t>
      </w:r>
      <w:r w:rsidR="00F469EF">
        <w:rPr>
          <w:rFonts w:ascii="Times New Roman" w:hAnsi="Times New Roman" w:cs="Times New Roman"/>
          <w:sz w:val="24"/>
          <w:szCs w:val="24"/>
        </w:rPr>
        <w:t>-</w:t>
      </w:r>
      <w:r w:rsidRPr="00F469EF">
        <w:rPr>
          <w:rFonts w:ascii="Times New Roman" w:hAnsi="Times New Roman" w:cs="Times New Roman"/>
          <w:sz w:val="24"/>
          <w:szCs w:val="24"/>
        </w:rPr>
        <w:t>коды, из титульного листа удалили строку для кода ОКВЭД.</w:t>
      </w:r>
    </w:p>
    <w:p w:rsidR="008B14E6" w:rsidRPr="00F469EF" w:rsidRDefault="008B14E6" w:rsidP="00E36D0C">
      <w:pPr>
        <w:autoSpaceDE w:val="0"/>
        <w:autoSpaceDN w:val="0"/>
        <w:adjustRightInd w:val="0"/>
        <w:spacing w:after="0" w:line="240" w:lineRule="auto"/>
        <w:ind w:firstLine="540"/>
        <w:jc w:val="both"/>
        <w:rPr>
          <w:rFonts w:ascii="Times New Roman" w:hAnsi="Times New Roman" w:cs="Times New Roman"/>
          <w:sz w:val="24"/>
          <w:szCs w:val="24"/>
        </w:rPr>
      </w:pPr>
    </w:p>
    <w:p w:rsidR="00E36D0C" w:rsidRPr="00F469EF" w:rsidRDefault="008B14E6" w:rsidP="00E36D0C">
      <w:pPr>
        <w:autoSpaceDE w:val="0"/>
        <w:autoSpaceDN w:val="0"/>
        <w:adjustRightInd w:val="0"/>
        <w:spacing w:after="0" w:line="240" w:lineRule="auto"/>
        <w:ind w:firstLine="540"/>
        <w:jc w:val="both"/>
        <w:rPr>
          <w:rFonts w:ascii="Times New Roman" w:hAnsi="Times New Roman" w:cs="Times New Roman"/>
          <w:sz w:val="24"/>
          <w:szCs w:val="24"/>
        </w:rPr>
      </w:pPr>
      <w:r w:rsidRPr="00F469EF">
        <w:rPr>
          <w:rFonts w:ascii="Times New Roman" w:hAnsi="Times New Roman" w:cs="Times New Roman"/>
          <w:sz w:val="24"/>
          <w:szCs w:val="24"/>
        </w:rPr>
        <w:t>Напоминаю, что на территории Карачаево-Ч</w:t>
      </w:r>
      <w:r w:rsidR="00F469EF">
        <w:rPr>
          <w:rFonts w:ascii="Times New Roman" w:hAnsi="Times New Roman" w:cs="Times New Roman"/>
          <w:sz w:val="24"/>
          <w:szCs w:val="24"/>
        </w:rPr>
        <w:t>еркесской Республики действуют «налоговые каникулы»</w:t>
      </w:r>
      <w:r w:rsidRPr="00F469EF">
        <w:rPr>
          <w:rFonts w:ascii="Times New Roman" w:hAnsi="Times New Roman" w:cs="Times New Roman"/>
          <w:sz w:val="24"/>
          <w:szCs w:val="24"/>
        </w:rPr>
        <w:t xml:space="preserve"> для впервые зарегистрированных индивидуальных предпринимателей при применении упрощенной и патентной систем налогообложения в производственной, социальной и научной сферах, в виде установления на двухлетний налоговый период нулевой ставки.</w:t>
      </w:r>
    </w:p>
    <w:p w:rsidR="00E36D0C" w:rsidRPr="00F469EF" w:rsidRDefault="00E36D0C" w:rsidP="00E36D0C">
      <w:pPr>
        <w:autoSpaceDE w:val="0"/>
        <w:autoSpaceDN w:val="0"/>
        <w:adjustRightInd w:val="0"/>
        <w:spacing w:after="0" w:line="240" w:lineRule="auto"/>
        <w:ind w:firstLine="540"/>
        <w:jc w:val="both"/>
        <w:rPr>
          <w:rFonts w:ascii="Times New Roman" w:hAnsi="Times New Roman" w:cs="Times New Roman"/>
          <w:sz w:val="24"/>
          <w:szCs w:val="24"/>
        </w:rPr>
      </w:pPr>
    </w:p>
    <w:p w:rsidR="00A5153E" w:rsidRPr="00F469EF" w:rsidRDefault="00A5153E" w:rsidP="00E36D0C">
      <w:pPr>
        <w:autoSpaceDE w:val="0"/>
        <w:autoSpaceDN w:val="0"/>
        <w:adjustRightInd w:val="0"/>
        <w:spacing w:after="0" w:line="240" w:lineRule="auto"/>
        <w:ind w:firstLine="540"/>
        <w:jc w:val="both"/>
        <w:rPr>
          <w:rFonts w:ascii="Times New Roman" w:hAnsi="Times New Roman" w:cs="Times New Roman"/>
          <w:b/>
          <w:sz w:val="24"/>
          <w:szCs w:val="24"/>
        </w:rPr>
      </w:pPr>
      <w:r w:rsidRPr="00F469EF">
        <w:rPr>
          <w:rFonts w:ascii="Times New Roman" w:hAnsi="Times New Roman" w:cs="Times New Roman"/>
          <w:b/>
          <w:sz w:val="24"/>
          <w:szCs w:val="24"/>
        </w:rPr>
        <w:t>Теперь о субъектах малого и среднего предпринимательства</w:t>
      </w:r>
    </w:p>
    <w:p w:rsidR="00F469EF" w:rsidRDefault="00F20B76" w:rsidP="00F469EF">
      <w:pPr>
        <w:autoSpaceDE w:val="0"/>
        <w:autoSpaceDN w:val="0"/>
        <w:adjustRightInd w:val="0"/>
        <w:spacing w:before="280"/>
        <w:jc w:val="both"/>
        <w:rPr>
          <w:rFonts w:ascii="Times New Roman" w:hAnsi="Times New Roman" w:cs="Times New Roman"/>
          <w:sz w:val="24"/>
          <w:szCs w:val="24"/>
        </w:rPr>
      </w:pPr>
      <w:r>
        <w:rPr>
          <w:rFonts w:ascii="Times New Roman" w:hAnsi="Times New Roman" w:cs="Times New Roman"/>
          <w:sz w:val="24"/>
          <w:szCs w:val="24"/>
        </w:rPr>
        <w:t>Внесены изменения</w:t>
      </w:r>
      <w:r w:rsidR="00F16EA5" w:rsidRPr="00F469EF">
        <w:rPr>
          <w:rFonts w:ascii="Times New Roman" w:hAnsi="Times New Roman" w:cs="Times New Roman"/>
          <w:sz w:val="24"/>
          <w:szCs w:val="24"/>
        </w:rPr>
        <w:t xml:space="preserve"> в Федеральный закон №209-ФЗ о том, что если в едином реестре малого и среднего предпринимательства компания не числится, то ее не будут считать субъектом малого и</w:t>
      </w:r>
      <w:r w:rsidR="00F469EF">
        <w:rPr>
          <w:rFonts w:ascii="Times New Roman" w:hAnsi="Times New Roman" w:cs="Times New Roman"/>
          <w:sz w:val="24"/>
          <w:szCs w:val="24"/>
        </w:rPr>
        <w:t>ли среднего предпринимательства</w:t>
      </w:r>
      <w:r w:rsidR="00F16EA5" w:rsidRPr="00F469EF">
        <w:rPr>
          <w:rFonts w:ascii="Times New Roman" w:hAnsi="Times New Roman" w:cs="Times New Roman"/>
          <w:sz w:val="24"/>
          <w:szCs w:val="24"/>
        </w:rPr>
        <w:t xml:space="preserve"> (ред. от 03.08.2018 Закона №209-ФЗ)</w:t>
      </w:r>
      <w:r w:rsidR="00F469EF">
        <w:rPr>
          <w:rFonts w:ascii="Times New Roman" w:hAnsi="Times New Roman" w:cs="Times New Roman"/>
          <w:sz w:val="24"/>
          <w:szCs w:val="24"/>
        </w:rPr>
        <w:t>.</w:t>
      </w:r>
    </w:p>
    <w:p w:rsidR="00F469EF" w:rsidRDefault="00F16EA5" w:rsidP="00F469EF">
      <w:pPr>
        <w:autoSpaceDE w:val="0"/>
        <w:autoSpaceDN w:val="0"/>
        <w:adjustRightInd w:val="0"/>
        <w:spacing w:before="280"/>
        <w:ind w:firstLine="708"/>
        <w:jc w:val="both"/>
        <w:rPr>
          <w:rFonts w:ascii="Times New Roman" w:hAnsi="Times New Roman" w:cs="Times New Roman"/>
          <w:sz w:val="24"/>
          <w:szCs w:val="24"/>
        </w:rPr>
      </w:pPr>
      <w:r w:rsidRPr="00F469EF">
        <w:rPr>
          <w:rFonts w:ascii="Times New Roman" w:hAnsi="Times New Roman" w:cs="Times New Roman"/>
          <w:sz w:val="24"/>
          <w:szCs w:val="24"/>
        </w:rPr>
        <w:t xml:space="preserve">Как вы знаете, </w:t>
      </w:r>
      <w:r w:rsidR="00151541" w:rsidRPr="00F469EF">
        <w:rPr>
          <w:rFonts w:ascii="Times New Roman" w:hAnsi="Times New Roman" w:cs="Times New Roman"/>
          <w:sz w:val="24"/>
          <w:szCs w:val="24"/>
        </w:rPr>
        <w:t>ведение Единого реестра субъектов малого и среднего предпринимательства осуществляется Федеральной налоговой службой.</w:t>
      </w:r>
      <w:r w:rsidR="00F469EF">
        <w:rPr>
          <w:rFonts w:ascii="Times New Roman" w:hAnsi="Times New Roman" w:cs="Times New Roman"/>
          <w:sz w:val="24"/>
          <w:szCs w:val="24"/>
        </w:rPr>
        <w:t xml:space="preserve"> </w:t>
      </w:r>
      <w:r w:rsidRPr="00F469EF">
        <w:rPr>
          <w:rFonts w:ascii="Times New Roman" w:hAnsi="Times New Roman" w:cs="Times New Roman"/>
          <w:bCs/>
          <w:sz w:val="24"/>
          <w:szCs w:val="24"/>
        </w:rPr>
        <w:t>Напомню</w:t>
      </w:r>
      <w:r w:rsidR="00F469EF">
        <w:rPr>
          <w:rFonts w:ascii="Times New Roman" w:hAnsi="Times New Roman" w:cs="Times New Roman"/>
          <w:bCs/>
          <w:sz w:val="24"/>
          <w:szCs w:val="24"/>
        </w:rPr>
        <w:t xml:space="preserve"> о</w:t>
      </w:r>
      <w:r w:rsidRPr="00F469EF">
        <w:rPr>
          <w:rFonts w:ascii="Times New Roman" w:hAnsi="Times New Roman" w:cs="Times New Roman"/>
          <w:bCs/>
          <w:sz w:val="24"/>
          <w:szCs w:val="24"/>
        </w:rPr>
        <w:t xml:space="preserve"> к</w:t>
      </w:r>
      <w:r w:rsidR="00F469EF">
        <w:rPr>
          <w:rFonts w:ascii="Times New Roman" w:hAnsi="Times New Roman" w:cs="Times New Roman"/>
          <w:bCs/>
          <w:sz w:val="24"/>
          <w:szCs w:val="24"/>
        </w:rPr>
        <w:t>ритериях</w:t>
      </w:r>
      <w:r w:rsidR="00151541" w:rsidRPr="00F469EF">
        <w:rPr>
          <w:rFonts w:ascii="Times New Roman" w:hAnsi="Times New Roman" w:cs="Times New Roman"/>
          <w:bCs/>
          <w:sz w:val="24"/>
          <w:szCs w:val="24"/>
        </w:rPr>
        <w:t xml:space="preserve"> отнесения к малому и среднему предпринимательству - </w:t>
      </w:r>
      <w:r w:rsidR="00151541" w:rsidRPr="00F469EF">
        <w:rPr>
          <w:rFonts w:ascii="Times New Roman" w:hAnsi="Times New Roman" w:cs="Times New Roman"/>
          <w:sz w:val="24"/>
          <w:szCs w:val="24"/>
        </w:rPr>
        <w:t xml:space="preserve"> </w:t>
      </w:r>
      <w:hyperlink r:id="rId27" w:history="1">
        <w:r w:rsidR="00151541" w:rsidRPr="00F469EF">
          <w:rPr>
            <w:rFonts w:ascii="Times New Roman" w:hAnsi="Times New Roman" w:cs="Times New Roman"/>
            <w:sz w:val="24"/>
            <w:szCs w:val="24"/>
          </w:rPr>
          <w:t>с</w:t>
        </w:r>
        <w:bookmarkStart w:id="0" w:name="_GoBack"/>
        <w:bookmarkEnd w:id="0"/>
        <w:r w:rsidR="00151541" w:rsidRPr="00F469EF">
          <w:rPr>
            <w:rFonts w:ascii="Times New Roman" w:hAnsi="Times New Roman" w:cs="Times New Roman"/>
            <w:sz w:val="24"/>
            <w:szCs w:val="24"/>
          </w:rPr>
          <w:t>реднесписочная численность</w:t>
        </w:r>
      </w:hyperlink>
      <w:r w:rsidR="00151541" w:rsidRPr="00F469EF">
        <w:rPr>
          <w:rFonts w:ascii="Times New Roman" w:hAnsi="Times New Roman" w:cs="Times New Roman"/>
          <w:sz w:val="24"/>
          <w:szCs w:val="24"/>
        </w:rPr>
        <w:t xml:space="preserve"> не более </w:t>
      </w:r>
      <w:hyperlink r:id="rId28" w:history="1">
        <w:r w:rsidR="00151541" w:rsidRPr="00F469EF">
          <w:rPr>
            <w:rFonts w:ascii="Times New Roman" w:hAnsi="Times New Roman" w:cs="Times New Roman"/>
            <w:sz w:val="24"/>
            <w:szCs w:val="24"/>
          </w:rPr>
          <w:t>250 человек</w:t>
        </w:r>
      </w:hyperlink>
      <w:r w:rsidR="00151541" w:rsidRPr="00F469EF">
        <w:rPr>
          <w:rFonts w:ascii="Times New Roman" w:hAnsi="Times New Roman" w:cs="Times New Roman"/>
          <w:sz w:val="24"/>
          <w:szCs w:val="24"/>
        </w:rPr>
        <w:t xml:space="preserve"> и доход не более </w:t>
      </w:r>
      <w:hyperlink r:id="rId29" w:history="1">
        <w:r w:rsidR="00F469EF">
          <w:rPr>
            <w:rFonts w:ascii="Times New Roman" w:hAnsi="Times New Roman" w:cs="Times New Roman"/>
            <w:sz w:val="24"/>
            <w:szCs w:val="24"/>
          </w:rPr>
          <w:t xml:space="preserve">2 </w:t>
        </w:r>
        <w:r w:rsidR="004D64DC">
          <w:rPr>
            <w:rFonts w:ascii="Times New Roman" w:hAnsi="Times New Roman" w:cs="Times New Roman"/>
            <w:sz w:val="24"/>
            <w:szCs w:val="24"/>
          </w:rPr>
          <w:t>млрд.</w:t>
        </w:r>
        <w:r w:rsidR="00F469EF">
          <w:rPr>
            <w:rFonts w:ascii="Times New Roman" w:hAnsi="Times New Roman" w:cs="Times New Roman"/>
            <w:sz w:val="24"/>
            <w:szCs w:val="24"/>
          </w:rPr>
          <w:t xml:space="preserve"> </w:t>
        </w:r>
        <w:r w:rsidR="00151541" w:rsidRPr="00F469EF">
          <w:rPr>
            <w:rFonts w:ascii="Times New Roman" w:hAnsi="Times New Roman" w:cs="Times New Roman"/>
            <w:sz w:val="24"/>
            <w:szCs w:val="24"/>
          </w:rPr>
          <w:t>руб</w:t>
        </w:r>
      </w:hyperlink>
      <w:r w:rsidR="00151541" w:rsidRPr="00F469EF">
        <w:rPr>
          <w:rFonts w:ascii="Times New Roman" w:hAnsi="Times New Roman" w:cs="Times New Roman"/>
          <w:sz w:val="24"/>
          <w:szCs w:val="24"/>
        </w:rPr>
        <w:t xml:space="preserve">. Минимум 51% уставного капитала ООО должно принадлежать физлицам или организациям - СМП. Доля организаций, не относящихся к СМП, не должна превышать 49%, доля государства, регионов или </w:t>
      </w:r>
      <w:hyperlink r:id="rId30" w:history="1">
        <w:r w:rsidR="00151541" w:rsidRPr="00F469EF">
          <w:rPr>
            <w:rFonts w:ascii="Times New Roman" w:hAnsi="Times New Roman" w:cs="Times New Roman"/>
            <w:sz w:val="24"/>
            <w:szCs w:val="24"/>
          </w:rPr>
          <w:t>НКО</w:t>
        </w:r>
      </w:hyperlink>
      <w:r w:rsidR="00151541" w:rsidRPr="00F469EF">
        <w:rPr>
          <w:rFonts w:ascii="Times New Roman" w:hAnsi="Times New Roman" w:cs="Times New Roman"/>
          <w:sz w:val="24"/>
          <w:szCs w:val="24"/>
        </w:rPr>
        <w:t xml:space="preserve"> - 25% </w:t>
      </w:r>
    </w:p>
    <w:p w:rsidR="00151541" w:rsidRPr="00F469EF" w:rsidRDefault="00F469EF" w:rsidP="00F469EF">
      <w:pPr>
        <w:autoSpaceDE w:val="0"/>
        <w:autoSpaceDN w:val="0"/>
        <w:adjustRightInd w:val="0"/>
        <w:spacing w:before="28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51541" w:rsidRPr="00F469EF">
        <w:rPr>
          <w:rFonts w:ascii="Times New Roman" w:hAnsi="Times New Roman" w:cs="Times New Roman"/>
          <w:sz w:val="24"/>
          <w:szCs w:val="24"/>
        </w:rPr>
        <w:t>Реестр ежегодно обновляется 10 августа. Очень много вопросов поступает от налогоплательщиков в плане того почему их нет в реестре.</w:t>
      </w:r>
      <w:r>
        <w:rPr>
          <w:rFonts w:ascii="Times New Roman" w:hAnsi="Times New Roman" w:cs="Times New Roman"/>
          <w:sz w:val="24"/>
          <w:szCs w:val="24"/>
        </w:rPr>
        <w:t xml:space="preserve"> </w:t>
      </w:r>
      <w:r w:rsidR="00151541" w:rsidRPr="00F469EF">
        <w:rPr>
          <w:rFonts w:ascii="Times New Roman" w:hAnsi="Times New Roman" w:cs="Times New Roman"/>
          <w:sz w:val="24"/>
          <w:szCs w:val="24"/>
        </w:rPr>
        <w:t>В РСМП не попадают те субъекты МСП, которые не представили в ИФНС:</w:t>
      </w:r>
    </w:p>
    <w:p w:rsidR="00151541" w:rsidRPr="00F469EF" w:rsidRDefault="00151541" w:rsidP="00F469EF">
      <w:pPr>
        <w:pStyle w:val="a8"/>
        <w:numPr>
          <w:ilvl w:val="0"/>
          <w:numId w:val="8"/>
        </w:numPr>
        <w:jc w:val="both"/>
        <w:rPr>
          <w:rFonts w:eastAsiaTheme="minorHAnsi"/>
          <w:snapToGrid/>
          <w:sz w:val="24"/>
          <w:szCs w:val="24"/>
          <w:lang w:eastAsia="en-US"/>
        </w:rPr>
      </w:pPr>
      <w:r w:rsidRPr="00F469EF">
        <w:rPr>
          <w:rFonts w:eastAsiaTheme="minorHAnsi"/>
          <w:snapToGrid/>
          <w:sz w:val="24"/>
          <w:szCs w:val="24"/>
          <w:lang w:eastAsia="en-US"/>
        </w:rPr>
        <w:t>сведения о среднесписочной численности работников за предыдущий год;</w:t>
      </w:r>
    </w:p>
    <w:p w:rsidR="00151541" w:rsidRPr="00F469EF" w:rsidRDefault="00151541" w:rsidP="00F469EF">
      <w:pPr>
        <w:pStyle w:val="a8"/>
        <w:numPr>
          <w:ilvl w:val="0"/>
          <w:numId w:val="8"/>
        </w:numPr>
        <w:jc w:val="both"/>
        <w:rPr>
          <w:rFonts w:eastAsiaTheme="minorHAnsi"/>
          <w:snapToGrid/>
          <w:sz w:val="24"/>
          <w:szCs w:val="24"/>
          <w:lang w:eastAsia="en-US"/>
        </w:rPr>
      </w:pPr>
      <w:r w:rsidRPr="00F469EF">
        <w:rPr>
          <w:rFonts w:eastAsiaTheme="minorHAnsi"/>
          <w:snapToGrid/>
          <w:sz w:val="24"/>
          <w:szCs w:val="24"/>
          <w:lang w:eastAsia="en-US"/>
        </w:rPr>
        <w:t>налоговую отчетность, позволяющую определить размер дохода, полученного за предыдущий год.</w:t>
      </w:r>
    </w:p>
    <w:p w:rsidR="00151541" w:rsidRPr="00F469EF" w:rsidRDefault="00151541" w:rsidP="00F469EF">
      <w:pPr>
        <w:pStyle w:val="a8"/>
        <w:ind w:firstLine="360"/>
        <w:jc w:val="both"/>
        <w:rPr>
          <w:rFonts w:eastAsiaTheme="minorHAnsi"/>
          <w:snapToGrid/>
          <w:sz w:val="24"/>
          <w:szCs w:val="24"/>
          <w:lang w:eastAsia="en-US"/>
        </w:rPr>
      </w:pPr>
      <w:r w:rsidRPr="00F469EF">
        <w:rPr>
          <w:rFonts w:eastAsiaTheme="minorHAnsi"/>
          <w:snapToGrid/>
          <w:sz w:val="24"/>
          <w:szCs w:val="24"/>
          <w:lang w:eastAsia="en-US"/>
        </w:rPr>
        <w:lastRenderedPageBreak/>
        <w:t xml:space="preserve">Поэтому налогоплательщикам-субъектам МСП целесообразно своевременно представлять отчетность  и проверять включение, зайдя в </w:t>
      </w:r>
      <w:r w:rsidR="00F469EF">
        <w:rPr>
          <w:rFonts w:eastAsiaTheme="minorHAnsi"/>
          <w:snapToGrid/>
          <w:sz w:val="24"/>
          <w:szCs w:val="24"/>
          <w:lang w:eastAsia="en-US"/>
        </w:rPr>
        <w:t>реестр на официальном сайте ФНС</w:t>
      </w:r>
      <w:r w:rsidR="00F469EF" w:rsidRPr="00F469EF">
        <w:rPr>
          <w:rFonts w:eastAsiaTheme="minorHAnsi"/>
          <w:snapToGrid/>
          <w:sz w:val="24"/>
          <w:szCs w:val="24"/>
          <w:lang w:eastAsia="en-US"/>
        </w:rPr>
        <w:t xml:space="preserve"> </w:t>
      </w:r>
      <w:hyperlink r:id="rId31" w:history="1">
        <w:r w:rsidR="00F469EF" w:rsidRPr="00AF3643">
          <w:rPr>
            <w:rStyle w:val="a4"/>
            <w:rFonts w:eastAsiaTheme="minorHAnsi"/>
            <w:snapToGrid/>
            <w:sz w:val="24"/>
            <w:szCs w:val="24"/>
            <w:lang w:val="en-US" w:eastAsia="en-US"/>
          </w:rPr>
          <w:t>www</w:t>
        </w:r>
        <w:r w:rsidR="00F469EF" w:rsidRPr="00AF3643">
          <w:rPr>
            <w:rStyle w:val="a4"/>
            <w:rFonts w:eastAsiaTheme="minorHAnsi"/>
            <w:snapToGrid/>
            <w:sz w:val="24"/>
            <w:szCs w:val="24"/>
            <w:lang w:eastAsia="en-US"/>
          </w:rPr>
          <w:t>.nalog.ru</w:t>
        </w:r>
      </w:hyperlink>
      <w:r w:rsidR="00F469EF">
        <w:rPr>
          <w:rFonts w:eastAsiaTheme="minorHAnsi"/>
          <w:snapToGrid/>
          <w:sz w:val="24"/>
          <w:szCs w:val="24"/>
          <w:lang w:eastAsia="en-US"/>
        </w:rPr>
        <w:t xml:space="preserve"> </w:t>
      </w:r>
      <w:r w:rsidRPr="00F469EF">
        <w:rPr>
          <w:rFonts w:eastAsiaTheme="minorHAnsi"/>
          <w:snapToGrid/>
          <w:sz w:val="24"/>
          <w:szCs w:val="24"/>
          <w:lang w:eastAsia="en-US"/>
        </w:rPr>
        <w:t xml:space="preserve">. </w:t>
      </w:r>
    </w:p>
    <w:p w:rsidR="00F469EF" w:rsidRDefault="00F469EF" w:rsidP="00151541">
      <w:pPr>
        <w:pStyle w:val="a8"/>
        <w:jc w:val="both"/>
        <w:rPr>
          <w:rFonts w:eastAsiaTheme="minorHAnsi"/>
          <w:snapToGrid/>
          <w:sz w:val="24"/>
          <w:szCs w:val="24"/>
          <w:lang w:eastAsia="en-US"/>
        </w:rPr>
      </w:pPr>
    </w:p>
    <w:p w:rsidR="00151541" w:rsidRPr="00F469EF" w:rsidRDefault="00151541" w:rsidP="00F469EF">
      <w:pPr>
        <w:pStyle w:val="a8"/>
        <w:ind w:firstLine="360"/>
        <w:jc w:val="both"/>
        <w:rPr>
          <w:rFonts w:eastAsiaTheme="minorHAnsi"/>
          <w:snapToGrid/>
          <w:sz w:val="24"/>
          <w:szCs w:val="24"/>
          <w:lang w:eastAsia="en-US"/>
        </w:rPr>
      </w:pPr>
      <w:r w:rsidRPr="00F469EF">
        <w:rPr>
          <w:rFonts w:eastAsiaTheme="minorHAnsi"/>
          <w:snapToGrid/>
          <w:sz w:val="24"/>
          <w:szCs w:val="24"/>
          <w:lang w:eastAsia="en-US"/>
        </w:rPr>
        <w:t>Нужно помнить, что при исключении из реестра будет потерян ряд преимуществ, на которые имеют право как малые (в том числе микро</w:t>
      </w:r>
      <w:r w:rsidR="004D64DC">
        <w:rPr>
          <w:rFonts w:eastAsiaTheme="minorHAnsi"/>
          <w:snapToGrid/>
          <w:sz w:val="24"/>
          <w:szCs w:val="24"/>
          <w:lang w:eastAsia="en-US"/>
        </w:rPr>
        <w:t xml:space="preserve"> </w:t>
      </w:r>
      <w:r w:rsidRPr="00F469EF">
        <w:rPr>
          <w:rFonts w:eastAsiaTheme="minorHAnsi"/>
          <w:snapToGrid/>
          <w:sz w:val="24"/>
          <w:szCs w:val="24"/>
          <w:lang w:eastAsia="en-US"/>
        </w:rPr>
        <w:t xml:space="preserve">предприятия), так и средние предприятия: </w:t>
      </w:r>
    </w:p>
    <w:p w:rsidR="00151541" w:rsidRPr="00F469EF" w:rsidRDefault="00151541" w:rsidP="004D64DC">
      <w:pPr>
        <w:pStyle w:val="a8"/>
        <w:numPr>
          <w:ilvl w:val="0"/>
          <w:numId w:val="9"/>
        </w:numPr>
        <w:jc w:val="both"/>
        <w:rPr>
          <w:rFonts w:eastAsiaTheme="minorHAnsi"/>
          <w:snapToGrid/>
          <w:sz w:val="24"/>
          <w:szCs w:val="24"/>
          <w:lang w:eastAsia="en-US"/>
        </w:rPr>
      </w:pPr>
      <w:r w:rsidRPr="00F469EF">
        <w:rPr>
          <w:rFonts w:eastAsiaTheme="minorHAnsi"/>
          <w:snapToGrid/>
          <w:sz w:val="24"/>
          <w:szCs w:val="24"/>
          <w:lang w:eastAsia="en-US"/>
        </w:rPr>
        <w:t>возможность замены административного штрафа предупреждением;</w:t>
      </w:r>
    </w:p>
    <w:p w:rsidR="00151541" w:rsidRPr="00F469EF" w:rsidRDefault="00151541" w:rsidP="004D64DC">
      <w:pPr>
        <w:pStyle w:val="a8"/>
        <w:numPr>
          <w:ilvl w:val="0"/>
          <w:numId w:val="9"/>
        </w:numPr>
        <w:jc w:val="both"/>
        <w:rPr>
          <w:rFonts w:eastAsiaTheme="minorHAnsi"/>
          <w:snapToGrid/>
          <w:sz w:val="24"/>
          <w:szCs w:val="24"/>
          <w:lang w:eastAsia="en-US"/>
        </w:rPr>
      </w:pPr>
      <w:r w:rsidRPr="00F469EF">
        <w:rPr>
          <w:rFonts w:eastAsiaTheme="minorHAnsi"/>
          <w:snapToGrid/>
          <w:sz w:val="24"/>
          <w:szCs w:val="24"/>
          <w:lang w:eastAsia="en-US"/>
        </w:rPr>
        <w:t>получение субсидий для малого бизнеса;</w:t>
      </w:r>
    </w:p>
    <w:p w:rsidR="00151541" w:rsidRPr="00F469EF" w:rsidRDefault="00151541" w:rsidP="004D64DC">
      <w:pPr>
        <w:pStyle w:val="a8"/>
        <w:numPr>
          <w:ilvl w:val="0"/>
          <w:numId w:val="9"/>
        </w:numPr>
        <w:jc w:val="both"/>
        <w:rPr>
          <w:rFonts w:eastAsiaTheme="minorHAnsi"/>
          <w:snapToGrid/>
          <w:sz w:val="24"/>
          <w:szCs w:val="24"/>
          <w:lang w:eastAsia="en-US"/>
        </w:rPr>
      </w:pPr>
      <w:r w:rsidRPr="00F469EF">
        <w:rPr>
          <w:rFonts w:eastAsiaTheme="minorHAnsi"/>
          <w:snapToGrid/>
          <w:sz w:val="24"/>
          <w:szCs w:val="24"/>
          <w:lang w:eastAsia="en-US"/>
        </w:rPr>
        <w:t>выкуп арендуемой муниципальной собственности на льготных условиях;</w:t>
      </w:r>
    </w:p>
    <w:p w:rsidR="00151541" w:rsidRPr="00F469EF" w:rsidRDefault="00151541" w:rsidP="004D64DC">
      <w:pPr>
        <w:pStyle w:val="a8"/>
        <w:numPr>
          <w:ilvl w:val="0"/>
          <w:numId w:val="9"/>
        </w:numPr>
        <w:jc w:val="both"/>
        <w:rPr>
          <w:rFonts w:eastAsiaTheme="minorHAnsi"/>
          <w:snapToGrid/>
          <w:sz w:val="24"/>
          <w:szCs w:val="24"/>
          <w:lang w:eastAsia="en-US"/>
        </w:rPr>
      </w:pPr>
      <w:r w:rsidRPr="00F469EF">
        <w:rPr>
          <w:rFonts w:eastAsiaTheme="minorHAnsi"/>
          <w:snapToGrid/>
          <w:sz w:val="24"/>
          <w:szCs w:val="24"/>
          <w:lang w:eastAsia="en-US"/>
        </w:rPr>
        <w:t>доступ к госзакупкам на льготных условиях;</w:t>
      </w:r>
    </w:p>
    <w:p w:rsidR="004D64DC" w:rsidRDefault="004D64DC" w:rsidP="00151541">
      <w:pPr>
        <w:pStyle w:val="a8"/>
        <w:jc w:val="both"/>
        <w:rPr>
          <w:rFonts w:eastAsiaTheme="minorHAnsi"/>
          <w:snapToGrid/>
          <w:sz w:val="24"/>
          <w:szCs w:val="24"/>
          <w:lang w:eastAsia="en-US"/>
        </w:rPr>
      </w:pPr>
    </w:p>
    <w:p w:rsidR="00151541" w:rsidRPr="00F469EF" w:rsidRDefault="00151541" w:rsidP="004D64DC">
      <w:pPr>
        <w:pStyle w:val="a8"/>
        <w:ind w:firstLine="360"/>
        <w:jc w:val="both"/>
        <w:rPr>
          <w:rFonts w:eastAsiaTheme="minorHAnsi"/>
          <w:snapToGrid/>
          <w:sz w:val="24"/>
          <w:szCs w:val="24"/>
          <w:lang w:eastAsia="en-US"/>
        </w:rPr>
      </w:pPr>
      <w:r w:rsidRPr="00F469EF">
        <w:rPr>
          <w:rFonts w:eastAsiaTheme="minorHAnsi"/>
          <w:snapToGrid/>
          <w:sz w:val="24"/>
          <w:szCs w:val="24"/>
          <w:lang w:eastAsia="en-US"/>
        </w:rPr>
        <w:t>Также льготы для таких субъектов установлены в сфере налогообложения, предоставления статистических отчетов, бухучета и порядка ведения кассовых операций.</w:t>
      </w:r>
    </w:p>
    <w:p w:rsidR="00151541" w:rsidRPr="00F469EF" w:rsidRDefault="00151541" w:rsidP="00151541">
      <w:pPr>
        <w:autoSpaceDE w:val="0"/>
        <w:autoSpaceDN w:val="0"/>
        <w:adjustRightInd w:val="0"/>
        <w:spacing w:before="280"/>
        <w:ind w:firstLine="540"/>
        <w:jc w:val="both"/>
        <w:rPr>
          <w:rFonts w:ascii="Times New Roman" w:hAnsi="Times New Roman" w:cs="Times New Roman"/>
          <w:sz w:val="24"/>
          <w:szCs w:val="24"/>
        </w:rPr>
      </w:pPr>
      <w:r w:rsidRPr="00F469EF">
        <w:rPr>
          <w:rFonts w:ascii="Times New Roman" w:hAnsi="Times New Roman" w:cs="Times New Roman"/>
          <w:sz w:val="24"/>
          <w:szCs w:val="24"/>
        </w:rPr>
        <w:t xml:space="preserve">Также необходимо отметить, что в соответствии с </w:t>
      </w:r>
      <w:hyperlink r:id="rId32" w:history="1">
        <w:r w:rsidRPr="00F469EF">
          <w:rPr>
            <w:rFonts w:ascii="Times New Roman" w:hAnsi="Times New Roman" w:cs="Times New Roman"/>
            <w:sz w:val="24"/>
            <w:szCs w:val="24"/>
          </w:rPr>
          <w:t>п. 4 ст. 6</w:t>
        </w:r>
      </w:hyperlink>
      <w:r w:rsidRPr="00F469EF">
        <w:rPr>
          <w:rFonts w:ascii="Times New Roman" w:hAnsi="Times New Roman" w:cs="Times New Roman"/>
          <w:sz w:val="24"/>
          <w:szCs w:val="24"/>
        </w:rPr>
        <w:t xml:space="preserve"> Федерального</w:t>
      </w:r>
      <w:r w:rsidR="004D64DC">
        <w:rPr>
          <w:rFonts w:ascii="Times New Roman" w:hAnsi="Times New Roman" w:cs="Times New Roman"/>
          <w:sz w:val="24"/>
          <w:szCs w:val="24"/>
        </w:rPr>
        <w:t xml:space="preserve"> закона от 06.12.2011 N 402-ФЗ «О бухгалтерском учете»</w:t>
      </w:r>
      <w:r w:rsidRPr="00F469EF">
        <w:rPr>
          <w:rFonts w:ascii="Times New Roman" w:hAnsi="Times New Roman" w:cs="Times New Roman"/>
          <w:sz w:val="24"/>
          <w:szCs w:val="24"/>
        </w:rPr>
        <w:t xml:space="preserve"> субъекты малого предпринимательства вправе вести упрощенный бухучет и составлять упрощенную бухгалтерскую отчетность.</w:t>
      </w:r>
    </w:p>
    <w:p w:rsidR="00173164" w:rsidRPr="00F469EF" w:rsidRDefault="00173164" w:rsidP="00151541">
      <w:pPr>
        <w:autoSpaceDE w:val="0"/>
        <w:autoSpaceDN w:val="0"/>
        <w:adjustRightInd w:val="0"/>
        <w:spacing w:before="280"/>
        <w:ind w:firstLine="540"/>
        <w:jc w:val="both"/>
        <w:rPr>
          <w:rFonts w:ascii="Times New Roman" w:hAnsi="Times New Roman" w:cs="Times New Roman"/>
          <w:sz w:val="24"/>
          <w:szCs w:val="24"/>
        </w:rPr>
      </w:pPr>
    </w:p>
    <w:sectPr w:rsidR="00173164" w:rsidRPr="00F469EF" w:rsidSect="003B1789">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B1C5428"/>
    <w:multiLevelType w:val="hybridMultilevel"/>
    <w:tmpl w:val="A2F0567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12614C54"/>
    <w:multiLevelType w:val="hybridMultilevel"/>
    <w:tmpl w:val="E7F2E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335012"/>
    <w:multiLevelType w:val="hybridMultilevel"/>
    <w:tmpl w:val="1A44E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DA1C40"/>
    <w:multiLevelType w:val="hybridMultilevel"/>
    <w:tmpl w:val="0818C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145DB8"/>
    <w:multiLevelType w:val="hybridMultilevel"/>
    <w:tmpl w:val="46F6C04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55264D8B"/>
    <w:multiLevelType w:val="hybridMultilevel"/>
    <w:tmpl w:val="6F4C5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46332D"/>
    <w:multiLevelType w:val="hybridMultilevel"/>
    <w:tmpl w:val="E62A7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2F7E11"/>
    <w:multiLevelType w:val="hybridMultilevel"/>
    <w:tmpl w:val="4CF256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7"/>
  </w:num>
  <w:num w:numId="2">
    <w:abstractNumId w:val="6"/>
  </w:num>
  <w:num w:numId="3">
    <w:abstractNumId w:val="0"/>
  </w:num>
  <w:num w:numId="4">
    <w:abstractNumId w:val="3"/>
  </w:num>
  <w:num w:numId="5">
    <w:abstractNumId w:val="5"/>
  </w:num>
  <w:num w:numId="6">
    <w:abstractNumId w:val="1"/>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AD5"/>
    <w:rsid w:val="000674BF"/>
    <w:rsid w:val="00151541"/>
    <w:rsid w:val="00173164"/>
    <w:rsid w:val="002E49F7"/>
    <w:rsid w:val="002F03C9"/>
    <w:rsid w:val="0042496F"/>
    <w:rsid w:val="00434158"/>
    <w:rsid w:val="00494AD5"/>
    <w:rsid w:val="004C7638"/>
    <w:rsid w:val="004D64DC"/>
    <w:rsid w:val="004E0720"/>
    <w:rsid w:val="005C562C"/>
    <w:rsid w:val="005E1DB6"/>
    <w:rsid w:val="00682314"/>
    <w:rsid w:val="006F0572"/>
    <w:rsid w:val="00700797"/>
    <w:rsid w:val="008B14E6"/>
    <w:rsid w:val="008B57C7"/>
    <w:rsid w:val="00923903"/>
    <w:rsid w:val="009C4D96"/>
    <w:rsid w:val="009E4D5D"/>
    <w:rsid w:val="00A5153E"/>
    <w:rsid w:val="00B11F06"/>
    <w:rsid w:val="00B50F36"/>
    <w:rsid w:val="00B57BCD"/>
    <w:rsid w:val="00BB52C1"/>
    <w:rsid w:val="00CC6ACA"/>
    <w:rsid w:val="00DE0102"/>
    <w:rsid w:val="00E36D0C"/>
    <w:rsid w:val="00E77AA3"/>
    <w:rsid w:val="00F16EA5"/>
    <w:rsid w:val="00F20B76"/>
    <w:rsid w:val="00F46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2496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2314"/>
    <w:pPr>
      <w:ind w:left="720"/>
      <w:contextualSpacing/>
    </w:pPr>
  </w:style>
  <w:style w:type="character" w:styleId="a4">
    <w:name w:val="Hyperlink"/>
    <w:basedOn w:val="a0"/>
    <w:uiPriority w:val="99"/>
    <w:unhideWhenUsed/>
    <w:rsid w:val="005C562C"/>
    <w:rPr>
      <w:strike w:val="0"/>
      <w:dstrike w:val="0"/>
      <w:color w:val="015BC0"/>
      <w:u w:val="none"/>
      <w:effect w:val="none"/>
      <w:shd w:val="clear" w:color="auto" w:fill="auto"/>
    </w:rPr>
  </w:style>
  <w:style w:type="character" w:styleId="a5">
    <w:name w:val="Strong"/>
    <w:basedOn w:val="a0"/>
    <w:uiPriority w:val="22"/>
    <w:qFormat/>
    <w:rsid w:val="005C562C"/>
    <w:rPr>
      <w:b/>
      <w:bCs/>
    </w:rPr>
  </w:style>
  <w:style w:type="paragraph" w:styleId="a6">
    <w:name w:val="Normal (Web)"/>
    <w:basedOn w:val="a"/>
    <w:uiPriority w:val="99"/>
    <w:unhideWhenUsed/>
    <w:rsid w:val="005C56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2496F"/>
    <w:rPr>
      <w:rFonts w:ascii="Times New Roman" w:eastAsia="Times New Roman" w:hAnsi="Times New Roman" w:cs="Times New Roman"/>
      <w:b/>
      <w:bCs/>
      <w:sz w:val="27"/>
      <w:szCs w:val="27"/>
      <w:lang w:eastAsia="ru-RU"/>
    </w:rPr>
  </w:style>
  <w:style w:type="character" w:styleId="a7">
    <w:name w:val="Emphasis"/>
    <w:basedOn w:val="a0"/>
    <w:uiPriority w:val="20"/>
    <w:qFormat/>
    <w:rsid w:val="00B50F36"/>
    <w:rPr>
      <w:i/>
      <w:iCs/>
    </w:rPr>
  </w:style>
  <w:style w:type="paragraph" w:styleId="a8">
    <w:name w:val="No Spacing"/>
    <w:uiPriority w:val="1"/>
    <w:qFormat/>
    <w:rsid w:val="00151541"/>
    <w:pPr>
      <w:spacing w:after="0" w:line="240" w:lineRule="auto"/>
    </w:pPr>
    <w:rPr>
      <w:rFonts w:ascii="Times New Roman" w:eastAsia="Times New Roman" w:hAnsi="Times New Roman" w:cs="Times New Roman"/>
      <w:snapToGrid w:val="0"/>
      <w:sz w:val="26"/>
      <w:szCs w:val="20"/>
      <w:lang w:eastAsia="ru-RU"/>
    </w:rPr>
  </w:style>
  <w:style w:type="paragraph" w:styleId="a9">
    <w:name w:val="Balloon Text"/>
    <w:basedOn w:val="a"/>
    <w:link w:val="aa"/>
    <w:uiPriority w:val="99"/>
    <w:semiHidden/>
    <w:unhideWhenUsed/>
    <w:rsid w:val="00A5153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515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2496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2314"/>
    <w:pPr>
      <w:ind w:left="720"/>
      <w:contextualSpacing/>
    </w:pPr>
  </w:style>
  <w:style w:type="character" w:styleId="a4">
    <w:name w:val="Hyperlink"/>
    <w:basedOn w:val="a0"/>
    <w:uiPriority w:val="99"/>
    <w:unhideWhenUsed/>
    <w:rsid w:val="005C562C"/>
    <w:rPr>
      <w:strike w:val="0"/>
      <w:dstrike w:val="0"/>
      <w:color w:val="015BC0"/>
      <w:u w:val="none"/>
      <w:effect w:val="none"/>
      <w:shd w:val="clear" w:color="auto" w:fill="auto"/>
    </w:rPr>
  </w:style>
  <w:style w:type="character" w:styleId="a5">
    <w:name w:val="Strong"/>
    <w:basedOn w:val="a0"/>
    <w:uiPriority w:val="22"/>
    <w:qFormat/>
    <w:rsid w:val="005C562C"/>
    <w:rPr>
      <w:b/>
      <w:bCs/>
    </w:rPr>
  </w:style>
  <w:style w:type="paragraph" w:styleId="a6">
    <w:name w:val="Normal (Web)"/>
    <w:basedOn w:val="a"/>
    <w:uiPriority w:val="99"/>
    <w:unhideWhenUsed/>
    <w:rsid w:val="005C56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2496F"/>
    <w:rPr>
      <w:rFonts w:ascii="Times New Roman" w:eastAsia="Times New Roman" w:hAnsi="Times New Roman" w:cs="Times New Roman"/>
      <w:b/>
      <w:bCs/>
      <w:sz w:val="27"/>
      <w:szCs w:val="27"/>
      <w:lang w:eastAsia="ru-RU"/>
    </w:rPr>
  </w:style>
  <w:style w:type="character" w:styleId="a7">
    <w:name w:val="Emphasis"/>
    <w:basedOn w:val="a0"/>
    <w:uiPriority w:val="20"/>
    <w:qFormat/>
    <w:rsid w:val="00B50F36"/>
    <w:rPr>
      <w:i/>
      <w:iCs/>
    </w:rPr>
  </w:style>
  <w:style w:type="paragraph" w:styleId="a8">
    <w:name w:val="No Spacing"/>
    <w:uiPriority w:val="1"/>
    <w:qFormat/>
    <w:rsid w:val="00151541"/>
    <w:pPr>
      <w:spacing w:after="0" w:line="240" w:lineRule="auto"/>
    </w:pPr>
    <w:rPr>
      <w:rFonts w:ascii="Times New Roman" w:eastAsia="Times New Roman" w:hAnsi="Times New Roman" w:cs="Times New Roman"/>
      <w:snapToGrid w:val="0"/>
      <w:sz w:val="26"/>
      <w:szCs w:val="20"/>
      <w:lang w:eastAsia="ru-RU"/>
    </w:rPr>
  </w:style>
  <w:style w:type="paragraph" w:styleId="a9">
    <w:name w:val="Balloon Text"/>
    <w:basedOn w:val="a"/>
    <w:link w:val="aa"/>
    <w:uiPriority w:val="99"/>
    <w:semiHidden/>
    <w:unhideWhenUsed/>
    <w:rsid w:val="00A5153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51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600780">
      <w:bodyDiv w:val="1"/>
      <w:marLeft w:val="0"/>
      <w:marRight w:val="0"/>
      <w:marTop w:val="0"/>
      <w:marBottom w:val="0"/>
      <w:divBdr>
        <w:top w:val="none" w:sz="0" w:space="0" w:color="auto"/>
        <w:left w:val="none" w:sz="0" w:space="0" w:color="auto"/>
        <w:bottom w:val="none" w:sz="0" w:space="0" w:color="auto"/>
        <w:right w:val="none" w:sz="0" w:space="0" w:color="auto"/>
      </w:divBdr>
      <w:divsChild>
        <w:div w:id="959650933">
          <w:marLeft w:val="0"/>
          <w:marRight w:val="0"/>
          <w:marTop w:val="0"/>
          <w:marBottom w:val="0"/>
          <w:divBdr>
            <w:top w:val="none" w:sz="0" w:space="0" w:color="auto"/>
            <w:left w:val="none" w:sz="0" w:space="0" w:color="auto"/>
            <w:bottom w:val="none" w:sz="0" w:space="0" w:color="auto"/>
            <w:right w:val="none" w:sz="0" w:space="0" w:color="auto"/>
          </w:divBdr>
          <w:divsChild>
            <w:div w:id="677386450">
              <w:marLeft w:val="0"/>
              <w:marRight w:val="0"/>
              <w:marTop w:val="0"/>
              <w:marBottom w:val="0"/>
              <w:divBdr>
                <w:top w:val="none" w:sz="0" w:space="0" w:color="auto"/>
                <w:left w:val="none" w:sz="0" w:space="0" w:color="auto"/>
                <w:bottom w:val="none" w:sz="0" w:space="0" w:color="auto"/>
                <w:right w:val="none" w:sz="0" w:space="0" w:color="auto"/>
              </w:divBdr>
              <w:divsChild>
                <w:div w:id="654263031">
                  <w:marLeft w:val="0"/>
                  <w:marRight w:val="0"/>
                  <w:marTop w:val="0"/>
                  <w:marBottom w:val="0"/>
                  <w:divBdr>
                    <w:top w:val="none" w:sz="0" w:space="0" w:color="auto"/>
                    <w:left w:val="none" w:sz="0" w:space="0" w:color="auto"/>
                    <w:bottom w:val="none" w:sz="0" w:space="0" w:color="auto"/>
                    <w:right w:val="none" w:sz="0" w:space="0" w:color="auto"/>
                  </w:divBdr>
                  <w:divsChild>
                    <w:div w:id="187105695">
                      <w:marLeft w:val="0"/>
                      <w:marRight w:val="0"/>
                      <w:marTop w:val="0"/>
                      <w:marBottom w:val="0"/>
                      <w:divBdr>
                        <w:top w:val="none" w:sz="0" w:space="0" w:color="auto"/>
                        <w:left w:val="none" w:sz="0" w:space="0" w:color="auto"/>
                        <w:bottom w:val="none" w:sz="0" w:space="0" w:color="auto"/>
                        <w:right w:val="none" w:sz="0" w:space="0" w:color="auto"/>
                      </w:divBdr>
                      <w:divsChild>
                        <w:div w:id="1930656603">
                          <w:marLeft w:val="0"/>
                          <w:marRight w:val="0"/>
                          <w:marTop w:val="0"/>
                          <w:marBottom w:val="0"/>
                          <w:divBdr>
                            <w:top w:val="none" w:sz="0" w:space="0" w:color="auto"/>
                            <w:left w:val="none" w:sz="0" w:space="0" w:color="auto"/>
                            <w:bottom w:val="none" w:sz="0" w:space="0" w:color="auto"/>
                            <w:right w:val="none" w:sz="0" w:space="0" w:color="auto"/>
                          </w:divBdr>
                          <w:divsChild>
                            <w:div w:id="1140460681">
                              <w:marLeft w:val="0"/>
                              <w:marRight w:val="0"/>
                              <w:marTop w:val="0"/>
                              <w:marBottom w:val="0"/>
                              <w:divBdr>
                                <w:top w:val="none" w:sz="0" w:space="0" w:color="auto"/>
                                <w:left w:val="none" w:sz="0" w:space="0" w:color="auto"/>
                                <w:bottom w:val="none" w:sz="0" w:space="0" w:color="auto"/>
                                <w:right w:val="none" w:sz="0" w:space="0" w:color="auto"/>
                              </w:divBdr>
                              <w:divsChild>
                                <w:div w:id="1447508044">
                                  <w:marLeft w:val="0"/>
                                  <w:marRight w:val="0"/>
                                  <w:marTop w:val="0"/>
                                  <w:marBottom w:val="0"/>
                                  <w:divBdr>
                                    <w:top w:val="none" w:sz="0" w:space="0" w:color="auto"/>
                                    <w:left w:val="none" w:sz="0" w:space="0" w:color="auto"/>
                                    <w:bottom w:val="none" w:sz="0" w:space="0" w:color="auto"/>
                                    <w:right w:val="none" w:sz="0" w:space="0" w:color="auto"/>
                                  </w:divBdr>
                                  <w:divsChild>
                                    <w:div w:id="17345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095150">
      <w:bodyDiv w:val="1"/>
      <w:marLeft w:val="0"/>
      <w:marRight w:val="0"/>
      <w:marTop w:val="0"/>
      <w:marBottom w:val="0"/>
      <w:divBdr>
        <w:top w:val="none" w:sz="0" w:space="0" w:color="auto"/>
        <w:left w:val="none" w:sz="0" w:space="0" w:color="auto"/>
        <w:bottom w:val="none" w:sz="0" w:space="0" w:color="auto"/>
        <w:right w:val="none" w:sz="0" w:space="0" w:color="auto"/>
      </w:divBdr>
      <w:divsChild>
        <w:div w:id="849831435">
          <w:marLeft w:val="0"/>
          <w:marRight w:val="0"/>
          <w:marTop w:val="0"/>
          <w:marBottom w:val="0"/>
          <w:divBdr>
            <w:top w:val="none" w:sz="0" w:space="0" w:color="auto"/>
            <w:left w:val="none" w:sz="0" w:space="0" w:color="auto"/>
            <w:bottom w:val="none" w:sz="0" w:space="0" w:color="auto"/>
            <w:right w:val="none" w:sz="0" w:space="0" w:color="auto"/>
          </w:divBdr>
          <w:divsChild>
            <w:div w:id="348068774">
              <w:marLeft w:val="0"/>
              <w:marRight w:val="0"/>
              <w:marTop w:val="0"/>
              <w:marBottom w:val="0"/>
              <w:divBdr>
                <w:top w:val="none" w:sz="0" w:space="0" w:color="auto"/>
                <w:left w:val="none" w:sz="0" w:space="0" w:color="auto"/>
                <w:bottom w:val="none" w:sz="0" w:space="0" w:color="auto"/>
                <w:right w:val="none" w:sz="0" w:space="0" w:color="auto"/>
              </w:divBdr>
              <w:divsChild>
                <w:div w:id="1253664879">
                  <w:marLeft w:val="0"/>
                  <w:marRight w:val="0"/>
                  <w:marTop w:val="0"/>
                  <w:marBottom w:val="0"/>
                  <w:divBdr>
                    <w:top w:val="none" w:sz="0" w:space="0" w:color="auto"/>
                    <w:left w:val="none" w:sz="0" w:space="0" w:color="auto"/>
                    <w:bottom w:val="none" w:sz="0" w:space="0" w:color="auto"/>
                    <w:right w:val="none" w:sz="0" w:space="0" w:color="auto"/>
                  </w:divBdr>
                  <w:divsChild>
                    <w:div w:id="1355035627">
                      <w:marLeft w:val="0"/>
                      <w:marRight w:val="0"/>
                      <w:marTop w:val="0"/>
                      <w:marBottom w:val="0"/>
                      <w:divBdr>
                        <w:top w:val="none" w:sz="0" w:space="0" w:color="auto"/>
                        <w:left w:val="none" w:sz="0" w:space="0" w:color="auto"/>
                        <w:bottom w:val="none" w:sz="0" w:space="0" w:color="auto"/>
                        <w:right w:val="none" w:sz="0" w:space="0" w:color="auto"/>
                      </w:divBdr>
                      <w:divsChild>
                        <w:div w:id="1339115090">
                          <w:marLeft w:val="0"/>
                          <w:marRight w:val="0"/>
                          <w:marTop w:val="0"/>
                          <w:marBottom w:val="0"/>
                          <w:divBdr>
                            <w:top w:val="none" w:sz="0" w:space="0" w:color="auto"/>
                            <w:left w:val="none" w:sz="0" w:space="0" w:color="auto"/>
                            <w:bottom w:val="none" w:sz="0" w:space="0" w:color="auto"/>
                            <w:right w:val="none" w:sz="0" w:space="0" w:color="auto"/>
                          </w:divBdr>
                          <w:divsChild>
                            <w:div w:id="530916610">
                              <w:marLeft w:val="0"/>
                              <w:marRight w:val="0"/>
                              <w:marTop w:val="0"/>
                              <w:marBottom w:val="0"/>
                              <w:divBdr>
                                <w:top w:val="none" w:sz="0" w:space="0" w:color="auto"/>
                                <w:left w:val="none" w:sz="0" w:space="0" w:color="auto"/>
                                <w:bottom w:val="none" w:sz="0" w:space="0" w:color="auto"/>
                                <w:right w:val="none" w:sz="0" w:space="0" w:color="auto"/>
                              </w:divBdr>
                              <w:divsChild>
                                <w:div w:id="17679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03855&amp;promocode=0957" TargetMode="External"/><Relationship Id="rId13" Type="http://schemas.openxmlformats.org/officeDocument/2006/relationships/hyperlink" Target="consultantplus://offline/ref=DF7B233FCA4B3D7041B14F50F22A87DE202BC4154C4CB024BEF2BC6BB84D017FD6CD018398697D92C4B86DACD1818C5294473B3CCA8C82xCZAN" TargetMode="External"/><Relationship Id="rId18" Type="http://schemas.openxmlformats.org/officeDocument/2006/relationships/hyperlink" Target="consultantplus://offline/ref=DF7B233FCA4B3D7041B14F50F22A87DE2123C91F4346B024BEF2BC6BB84D017FD6CD01839D667A9CC4B86DACD1818C5294473B3CCA8C82xCZAN" TargetMode="External"/><Relationship Id="rId26" Type="http://schemas.openxmlformats.org/officeDocument/2006/relationships/hyperlink" Target="consultantplus://offline/ref=7F075BA1FF75DC6D1AF4557E36B81DDABC6D5E3DF359B13225033BDFC774CD85BB92C0A08A3F4B5AB94C64F25D46A53DBFE27E47BBF717EDR9c9N" TargetMode="External"/><Relationship Id="rId3" Type="http://schemas.microsoft.com/office/2007/relationships/stylesWithEffects" Target="stylesWithEffects.xml"/><Relationship Id="rId21" Type="http://schemas.openxmlformats.org/officeDocument/2006/relationships/hyperlink" Target="consultantplus://offline/ref=6FBD42AFCF8E4B6D8F1A2FFA19272C54F1BFA61656F337A77CFA0787684A1B5B2E8F671BF235CADFEA0333505B4E18C7B503CB45F816C6C57DaCN" TargetMode="External"/><Relationship Id="rId34" Type="http://schemas.openxmlformats.org/officeDocument/2006/relationships/theme" Target="theme/theme1.xml"/><Relationship Id="rId7" Type="http://schemas.openxmlformats.org/officeDocument/2006/relationships/hyperlink" Target="consultantplus://offline/ref=411DD143F9F526331EFB51927CB2B9534FB24D2BE0A77770DC3C7F42BFDFA588B3F937CABF5D9B6DC78A7A5D7FE2c4O" TargetMode="External"/><Relationship Id="rId12" Type="http://schemas.openxmlformats.org/officeDocument/2006/relationships/hyperlink" Target="consultantplus://offline/ref=080E043D46ABB9EB8BBF0CF099364C289A0AF9F91D2672C5135BC3CDB87875CA191AF5A2B3557F541E801E36D936EA385B9F487CCF06B438Y8N" TargetMode="External"/><Relationship Id="rId17" Type="http://schemas.openxmlformats.org/officeDocument/2006/relationships/hyperlink" Target="consultantplus://offline/ref=DF7B233FCA4B3D7041B15244E042BDD3232BCB484844B373E0A5B261ED155E26948A0889CF233996CEEC3CE885848702DB036D2FC8889DC31DB1E89ED4x9ZDN" TargetMode="External"/><Relationship Id="rId25" Type="http://schemas.openxmlformats.org/officeDocument/2006/relationships/hyperlink" Target="consultantplus://offline/ref=7F075BA1FF75DC6D1AF4557E36B81DDABC6D5E3DF359B13225033BDFC774CD85BB92C0A08A3F4B5BBB4C64F25D46A53DBFE27E47BBF717EDR9c9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F7B233FCA4B3D7041B14F50F22A87DE2123C91F4346B024BEF2BC6BB84D017FD6CD018399627B92C4B86DACD1818C5294473B3CCA8C82xCZAN" TargetMode="External"/><Relationship Id="rId20" Type="http://schemas.openxmlformats.org/officeDocument/2006/relationships/hyperlink" Target="consultantplus://offline/ref=DF7B233FCA4B3D7041B14F50F22A87DE2123C91F4346B024BEF2BC6BB84D017FD6CD01839A62749EC4B86DACD1818C5294473B3CCA8C82xCZAN" TargetMode="External"/><Relationship Id="rId29" Type="http://schemas.openxmlformats.org/officeDocument/2006/relationships/hyperlink" Target="consultantplus://offline/ref=E9C37B8D808AB3B2658FFDC915EBD08B409AC4074AD4D34E016CEFC88EB05A1E5F4373EAC687CF8E2C32962B376D233E99A8191DB6DB9DD8cDdAI" TargetMode="External"/><Relationship Id="rId1" Type="http://schemas.openxmlformats.org/officeDocument/2006/relationships/numbering" Target="numbering.xml"/><Relationship Id="rId6" Type="http://schemas.openxmlformats.org/officeDocument/2006/relationships/hyperlink" Target="consultantplus://offline/ref=05985D4ADB715B15C0B9E18A8AC875A8A84840195C3C94D444AF89FA56B5AB29668BF93E4736045BD9FFC1A920j6V3O" TargetMode="External"/><Relationship Id="rId11" Type="http://schemas.openxmlformats.org/officeDocument/2006/relationships/hyperlink" Target="consultantplus://offline/ref=080E043D46ABB9EB8BBF0CF099364C289A0AF9F91D2672C5135BC3CDB87875CA191AF5A2B3557E511E801E36D936EA385B9F487CCF06B438Y8N" TargetMode="External"/><Relationship Id="rId24" Type="http://schemas.openxmlformats.org/officeDocument/2006/relationships/hyperlink" Target="consultantplus://offline/ref=6FBD42AFCF8E4B6D8F1A2FFA19272C54F1BFA61656F337A77CFA0787684A1B5B2E8F671BF13FC9D9E35C36454A1615C3AF1DC858E414C77CaDN" TargetMode="External"/><Relationship Id="rId32" Type="http://schemas.openxmlformats.org/officeDocument/2006/relationships/hyperlink" Target="consultantplus://offline/ref=D8F2171D26558256B9F07CA1AFAEA419060E61CC906B59649FEBD218E4B0FF3599DB24D01FC7EB5175C89859C73EE152AD0D9B72F1F4J" TargetMode="External"/><Relationship Id="rId5" Type="http://schemas.openxmlformats.org/officeDocument/2006/relationships/webSettings" Target="webSettings.xml"/><Relationship Id="rId15" Type="http://schemas.openxmlformats.org/officeDocument/2006/relationships/hyperlink" Target="consultantplus://offline/ref=DF7B233FCA4B3D7041B14F50F22A87DE2123C91F4346B024BEF2BC6BB84D017FD6CD01839D667A9DC4B86DACD1818C5294473B3CCA8C82xCZAN" TargetMode="External"/><Relationship Id="rId23" Type="http://schemas.openxmlformats.org/officeDocument/2006/relationships/hyperlink" Target="consultantplus://offline/ref=6FBD42AFCF8E4B6D8F1A2FFA19272C54F1BFA61656F337A77CFA0787684A1B5B2E8F671BF13FC9DBE35C36454A1615C3AF1DC858E414C77CaDN" TargetMode="External"/><Relationship Id="rId28" Type="http://schemas.openxmlformats.org/officeDocument/2006/relationships/hyperlink" Target="consultantplus://offline/ref=E9C37B8D808AB3B2658FFDC915EBD08B4292C0014AD8D34E016CEFC88EB05A1E5F4373EAC483C4DA7A7D9777723C303E9FA81A1FA9cDd1I" TargetMode="External"/><Relationship Id="rId10" Type="http://schemas.openxmlformats.org/officeDocument/2006/relationships/hyperlink" Target="consultantplus://offline/ref=080E043D46ABB9EB8BBF0CF099364C289A0AF9F91D2672C5135BC3CDB87875CA191AF5A2B3557F551E801E36D936EA385B9F487CCF06B438Y8N" TargetMode="External"/><Relationship Id="rId19" Type="http://schemas.openxmlformats.org/officeDocument/2006/relationships/hyperlink" Target="consultantplus://offline/ref=DF7B233FCA4B3D7041B14F50F22A87DE212AC3154147B024BEF2BC6BB84D017FD6CD01839B607C9DC8E768B9C0D981568E593821D68E83C2x1Z7N" TargetMode="External"/><Relationship Id="rId31" Type="http://schemas.openxmlformats.org/officeDocument/2006/relationships/hyperlink" Target="http://www.nalog.ru" TargetMode="External"/><Relationship Id="rId4" Type="http://schemas.openxmlformats.org/officeDocument/2006/relationships/settings" Target="settings.xml"/><Relationship Id="rId9" Type="http://schemas.openxmlformats.org/officeDocument/2006/relationships/hyperlink" Target="consultantplus://offline/ref=05985D4ADB715B15C0B9E18A8AC875A8A9404819523F94D444AF89FA56B5AB29748BA13247321A58DCEA97F8653FDEDE1F6FA8D8752C2992jEV1O" TargetMode="External"/><Relationship Id="rId14" Type="http://schemas.openxmlformats.org/officeDocument/2006/relationships/hyperlink" Target="consultantplus://offline/ref=DF7B233FCA4B3D7041B14F50F22A87DE202BC4154C4CB024BEF2BC6BB84D017FD6CD018398697D93C4B86DACD1818C5294473B3CCA8C82xCZAN" TargetMode="External"/><Relationship Id="rId22" Type="http://schemas.openxmlformats.org/officeDocument/2006/relationships/hyperlink" Target="consultantplus://offline/ref=6FBD42AFCF8E4B6D8F1A2FFA19272C54F1BEA91957F337A77CFA0787684A1B5B2E8F671BF236C8DDE00333505B4E18C7B503CB45F816C6C57DaCN" TargetMode="External"/><Relationship Id="rId27" Type="http://schemas.openxmlformats.org/officeDocument/2006/relationships/hyperlink" Target="consultantplus://offline/ref=E9C37B8D808AB3B2658FE1CA0BEBD08B4392C2074DD8D34E016CEFC88EB05A1E4D432BE6C783D18F2927C07A72c3d0I" TargetMode="External"/><Relationship Id="rId30" Type="http://schemas.openxmlformats.org/officeDocument/2006/relationships/hyperlink" Target="consultantplus://offline/ref=E9C37B8D808AB3B2658FE1CA0BEBD08B4392C5044DD2D34E016CEFC88EB05A1E5F4373EAC687CE8F2C32962B376D233E99A8191DB6DB9DD8cDd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5</Pages>
  <Words>2394</Words>
  <Characters>13646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Хачирова Медина Магомедовна</dc:creator>
  <cp:lastModifiedBy>Мамхягова Татьяна Владимировна</cp:lastModifiedBy>
  <cp:revision>11</cp:revision>
  <cp:lastPrinted>2019-03-11T09:38:00Z</cp:lastPrinted>
  <dcterms:created xsi:type="dcterms:W3CDTF">2019-03-04T13:10:00Z</dcterms:created>
  <dcterms:modified xsi:type="dcterms:W3CDTF">2019-03-11T13:58:00Z</dcterms:modified>
</cp:coreProperties>
</file>