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FEF" w:rsidRPr="0016084E" w:rsidRDefault="0016084E" w:rsidP="0016084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F63FEF" w:rsidRPr="0016084E">
        <w:rPr>
          <w:rFonts w:ascii="Times New Roman" w:hAnsi="Times New Roman" w:cs="Times New Roman"/>
          <w:bCs/>
          <w:sz w:val="28"/>
          <w:szCs w:val="28"/>
        </w:rPr>
        <w:t>Страховые взносы ИП: расчет и уплата</w:t>
      </w:r>
    </w:p>
    <w:p w:rsidR="00F63FEF" w:rsidRPr="0016084E" w:rsidRDefault="00F63FEF" w:rsidP="0016084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84E">
        <w:rPr>
          <w:rFonts w:ascii="Times New Roman" w:hAnsi="Times New Roman" w:cs="Times New Roman"/>
          <w:bCs/>
          <w:sz w:val="28"/>
          <w:szCs w:val="28"/>
        </w:rPr>
        <w:t>Предприниматель платит (Письма Минфина от 06.02.2019 N 03-15-05/6911, от 06.02.2018 N 03-15-05/6891):</w:t>
      </w:r>
    </w:p>
    <w:p w:rsidR="00F63FEF" w:rsidRPr="0016084E" w:rsidRDefault="00F63FEF" w:rsidP="0016084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84E">
        <w:rPr>
          <w:rFonts w:ascii="Times New Roman" w:hAnsi="Times New Roman" w:cs="Times New Roman"/>
          <w:bCs/>
          <w:sz w:val="28"/>
          <w:szCs w:val="28"/>
        </w:rPr>
        <w:t>•</w:t>
      </w:r>
      <w:r w:rsidRPr="0016084E">
        <w:rPr>
          <w:rFonts w:ascii="Times New Roman" w:hAnsi="Times New Roman" w:cs="Times New Roman"/>
          <w:bCs/>
          <w:sz w:val="28"/>
          <w:szCs w:val="28"/>
        </w:rPr>
        <w:tab/>
        <w:t>фиксированный платеж за себя, который не зависит от величины дохода;</w:t>
      </w:r>
    </w:p>
    <w:p w:rsidR="00F63FEF" w:rsidRPr="0016084E" w:rsidRDefault="00F63FEF" w:rsidP="0016084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84E">
        <w:rPr>
          <w:rFonts w:ascii="Times New Roman" w:hAnsi="Times New Roman" w:cs="Times New Roman"/>
          <w:bCs/>
          <w:sz w:val="28"/>
          <w:szCs w:val="28"/>
        </w:rPr>
        <w:t>•</w:t>
      </w:r>
      <w:r w:rsidRPr="0016084E">
        <w:rPr>
          <w:rFonts w:ascii="Times New Roman" w:hAnsi="Times New Roman" w:cs="Times New Roman"/>
          <w:bCs/>
          <w:sz w:val="28"/>
          <w:szCs w:val="28"/>
        </w:rPr>
        <w:tab/>
        <w:t>дополнительный взнос за себя с доходов свыше 300 000 руб. за год;</w:t>
      </w:r>
    </w:p>
    <w:p w:rsidR="00F63FEF" w:rsidRPr="0016084E" w:rsidRDefault="00F63FEF" w:rsidP="0016084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84E">
        <w:rPr>
          <w:rFonts w:ascii="Times New Roman" w:hAnsi="Times New Roman" w:cs="Times New Roman"/>
          <w:bCs/>
          <w:sz w:val="28"/>
          <w:szCs w:val="28"/>
        </w:rPr>
        <w:t>•</w:t>
      </w:r>
      <w:r w:rsidRPr="0016084E">
        <w:rPr>
          <w:rFonts w:ascii="Times New Roman" w:hAnsi="Times New Roman" w:cs="Times New Roman"/>
          <w:bCs/>
          <w:sz w:val="28"/>
          <w:szCs w:val="28"/>
        </w:rPr>
        <w:tab/>
        <w:t>взносы за работников.</w:t>
      </w:r>
    </w:p>
    <w:p w:rsidR="00F63FEF" w:rsidRPr="0016084E" w:rsidRDefault="00F63FEF" w:rsidP="0016084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84E">
        <w:rPr>
          <w:rFonts w:ascii="Times New Roman" w:hAnsi="Times New Roman" w:cs="Times New Roman"/>
          <w:bCs/>
          <w:sz w:val="28"/>
          <w:szCs w:val="28"/>
        </w:rPr>
        <w:t>Фиксированный платеж за 2019 г. - 36 238 руб. Он включает взнос на ОПС - 29 354 руб. и взнос на ОМС - 6 884 руб. (</w:t>
      </w:r>
      <w:proofErr w:type="spellStart"/>
      <w:r w:rsidRPr="0016084E">
        <w:rPr>
          <w:rFonts w:ascii="Times New Roman" w:hAnsi="Times New Roman" w:cs="Times New Roman"/>
          <w:bCs/>
          <w:sz w:val="28"/>
          <w:szCs w:val="28"/>
        </w:rPr>
        <w:t>пп</w:t>
      </w:r>
      <w:proofErr w:type="spellEnd"/>
      <w:r w:rsidRPr="0016084E">
        <w:rPr>
          <w:rFonts w:ascii="Times New Roman" w:hAnsi="Times New Roman" w:cs="Times New Roman"/>
          <w:bCs/>
          <w:sz w:val="28"/>
          <w:szCs w:val="28"/>
        </w:rPr>
        <w:t>. 1, 2 п. 1 ст. 430 НК РФ).</w:t>
      </w:r>
    </w:p>
    <w:p w:rsidR="00F63FEF" w:rsidRPr="0016084E" w:rsidRDefault="00F63FEF" w:rsidP="0016084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84E">
        <w:rPr>
          <w:rFonts w:ascii="Times New Roman" w:hAnsi="Times New Roman" w:cs="Times New Roman"/>
          <w:bCs/>
          <w:sz w:val="28"/>
          <w:szCs w:val="28"/>
        </w:rPr>
        <w:t>Срок уплаты фиксированного платежа за 2019 г. - не позднее 31.12.2019. Вы можете уплатить взносы частями в течение года или единовременно. Взносы на ОПС и ОМС перечислите в ИФНС двумя отдельными платежками.</w:t>
      </w:r>
    </w:p>
    <w:p w:rsidR="0016084E" w:rsidRPr="0016084E" w:rsidRDefault="0016084E" w:rsidP="0016084E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6084E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hyperlink r:id="rId6" w:history="1">
        <w:proofErr w:type="spellStart"/>
        <w:r w:rsidRPr="0016084E">
          <w:rPr>
            <w:rStyle w:val="a3"/>
            <w:rFonts w:ascii="Times New Roman" w:hAnsi="Times New Roman" w:cs="Times New Roman"/>
            <w:bCs/>
            <w:sz w:val="28"/>
            <w:szCs w:val="28"/>
          </w:rPr>
          <w:t>пп</w:t>
        </w:r>
        <w:proofErr w:type="spellEnd"/>
        <w:r w:rsidRPr="0016084E">
          <w:rPr>
            <w:rStyle w:val="a3"/>
            <w:rFonts w:ascii="Times New Roman" w:hAnsi="Times New Roman" w:cs="Times New Roman"/>
            <w:bCs/>
            <w:sz w:val="28"/>
            <w:szCs w:val="28"/>
          </w:rPr>
          <w:t>. 1 п. 1 ст. 430</w:t>
        </w:r>
      </w:hyperlink>
      <w:r w:rsidRPr="0016084E">
        <w:rPr>
          <w:rFonts w:ascii="Times New Roman" w:hAnsi="Times New Roman" w:cs="Times New Roman"/>
          <w:bCs/>
          <w:sz w:val="28"/>
          <w:szCs w:val="28"/>
        </w:rPr>
        <w:t xml:space="preserve"> НК РФ индивидуальные предприниматели уплачивают страховые взносы на обязательное пенсионное страхование в случае, если величина дохода плательщика за расчетный период превышает 300 000 руб., в фиксированном размере 26 545 руб. за расчетный период 2018 г. (29 354 руб. за расчетный период 2019 г., 32 448 руб. за расчетный период 2020 г</w:t>
      </w:r>
      <w:proofErr w:type="gramEnd"/>
      <w:r w:rsidRPr="0016084E">
        <w:rPr>
          <w:rFonts w:ascii="Times New Roman" w:hAnsi="Times New Roman" w:cs="Times New Roman"/>
          <w:bCs/>
          <w:sz w:val="28"/>
          <w:szCs w:val="28"/>
        </w:rPr>
        <w:t>.) плюс 1,0 процента суммы дохода плательщика, превышающего 300 000 руб. за расчетный период.</w:t>
      </w:r>
    </w:p>
    <w:p w:rsidR="0016084E" w:rsidRPr="0016084E" w:rsidRDefault="0016084E" w:rsidP="002E58A7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84E">
        <w:rPr>
          <w:rFonts w:ascii="Times New Roman" w:hAnsi="Times New Roman" w:cs="Times New Roman"/>
          <w:bCs/>
          <w:sz w:val="28"/>
          <w:szCs w:val="28"/>
        </w:rPr>
        <w:t xml:space="preserve">Суммы страховых взносов за расчетный период уплачиваются индивидуальными предпринимателями не позднее 31 декабря текущего календарного года, если иное не предусмотрено </w:t>
      </w:r>
      <w:hyperlink r:id="rId7" w:history="1">
        <w:r w:rsidRPr="0016084E">
          <w:rPr>
            <w:rStyle w:val="a3"/>
            <w:rFonts w:ascii="Times New Roman" w:hAnsi="Times New Roman" w:cs="Times New Roman"/>
            <w:bCs/>
            <w:sz w:val="28"/>
            <w:szCs w:val="28"/>
          </w:rPr>
          <w:t>ст. 432</w:t>
        </w:r>
      </w:hyperlink>
      <w:r w:rsidRPr="0016084E">
        <w:rPr>
          <w:rFonts w:ascii="Times New Roman" w:hAnsi="Times New Roman" w:cs="Times New Roman"/>
          <w:bCs/>
          <w:sz w:val="28"/>
          <w:szCs w:val="28"/>
        </w:rPr>
        <w:t xml:space="preserve"> НК РФ. Страховые взносы, исчисленные с суммы дохода плательщика, превышающей 300 000 руб. за расчетный период, уплачиваются плательщиком не позднее 1 июля года, следующего за истекшим расчетным периодом (</w:t>
      </w:r>
      <w:hyperlink r:id="rId8" w:history="1">
        <w:r w:rsidRPr="0016084E">
          <w:rPr>
            <w:rStyle w:val="a3"/>
            <w:rFonts w:ascii="Times New Roman" w:hAnsi="Times New Roman" w:cs="Times New Roman"/>
            <w:bCs/>
            <w:sz w:val="28"/>
            <w:szCs w:val="28"/>
          </w:rPr>
          <w:t>п. 2 ст. 432</w:t>
        </w:r>
      </w:hyperlink>
      <w:r w:rsidRPr="0016084E">
        <w:rPr>
          <w:rFonts w:ascii="Times New Roman" w:hAnsi="Times New Roman" w:cs="Times New Roman"/>
          <w:bCs/>
          <w:sz w:val="28"/>
          <w:szCs w:val="28"/>
        </w:rPr>
        <w:t xml:space="preserve"> НК РФ). Особенностей в отношении срока уплаты страховых взносов в зависимости от системы налогообложения нормами </w:t>
      </w:r>
      <w:hyperlink r:id="rId9" w:history="1">
        <w:r w:rsidRPr="0016084E">
          <w:rPr>
            <w:rStyle w:val="a3"/>
            <w:rFonts w:ascii="Times New Roman" w:hAnsi="Times New Roman" w:cs="Times New Roman"/>
            <w:bCs/>
            <w:sz w:val="28"/>
            <w:szCs w:val="28"/>
          </w:rPr>
          <w:t>НК</w:t>
        </w:r>
      </w:hyperlink>
      <w:r w:rsidRPr="0016084E">
        <w:rPr>
          <w:rFonts w:ascii="Times New Roman" w:hAnsi="Times New Roman" w:cs="Times New Roman"/>
          <w:bCs/>
          <w:sz w:val="28"/>
          <w:szCs w:val="28"/>
        </w:rPr>
        <w:t xml:space="preserve"> РФ не предусмотрено.</w:t>
      </w:r>
    </w:p>
    <w:p w:rsidR="0016084E" w:rsidRPr="0016084E" w:rsidRDefault="0016084E" w:rsidP="002E58A7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84E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hyperlink r:id="rId10" w:history="1">
        <w:r w:rsidRPr="0016084E">
          <w:rPr>
            <w:rStyle w:val="a3"/>
            <w:rFonts w:ascii="Times New Roman" w:hAnsi="Times New Roman" w:cs="Times New Roman"/>
            <w:bCs/>
            <w:sz w:val="28"/>
            <w:szCs w:val="28"/>
          </w:rPr>
          <w:t>п. 9 ст. 430</w:t>
        </w:r>
      </w:hyperlink>
      <w:r w:rsidRPr="0016084E">
        <w:rPr>
          <w:rFonts w:ascii="Times New Roman" w:hAnsi="Times New Roman" w:cs="Times New Roman"/>
          <w:bCs/>
          <w:sz w:val="28"/>
          <w:szCs w:val="28"/>
        </w:rPr>
        <w:t xml:space="preserve"> НК РФ в целях исчисления страховых взносов на обязательное пенсионное страхование в размере 1,0 процента от суммы дохода, превышающего 300 000 руб., доход учитывается следующим образом:</w:t>
      </w:r>
    </w:p>
    <w:p w:rsidR="00946533" w:rsidRPr="00946533" w:rsidRDefault="00946533" w:rsidP="0094653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6533">
        <w:rPr>
          <w:rFonts w:ascii="Times New Roman" w:hAnsi="Times New Roman" w:cs="Times New Roman"/>
          <w:bCs/>
          <w:sz w:val="28"/>
          <w:szCs w:val="28"/>
        </w:rPr>
        <w:t>- ЕНВД - вмененный доход, рассчитанный с учетом базовой доходности, физического показателя, коэффициентов К</w:t>
      </w:r>
      <w:proofErr w:type="gramStart"/>
      <w:r w:rsidRPr="00946533">
        <w:rPr>
          <w:rFonts w:ascii="Times New Roman" w:hAnsi="Times New Roman" w:cs="Times New Roman"/>
          <w:bCs/>
          <w:sz w:val="28"/>
          <w:szCs w:val="28"/>
        </w:rPr>
        <w:t>1</w:t>
      </w:r>
      <w:proofErr w:type="gramEnd"/>
      <w:r w:rsidRPr="00946533">
        <w:rPr>
          <w:rFonts w:ascii="Times New Roman" w:hAnsi="Times New Roman" w:cs="Times New Roman"/>
          <w:bCs/>
          <w:sz w:val="28"/>
          <w:szCs w:val="28"/>
        </w:rPr>
        <w:t xml:space="preserve"> и К2;</w:t>
      </w:r>
    </w:p>
    <w:p w:rsidR="00946533" w:rsidRPr="00946533" w:rsidRDefault="00946533" w:rsidP="0094653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6533">
        <w:rPr>
          <w:rFonts w:ascii="Times New Roman" w:hAnsi="Times New Roman" w:cs="Times New Roman"/>
          <w:bCs/>
          <w:sz w:val="28"/>
          <w:szCs w:val="28"/>
        </w:rPr>
        <w:lastRenderedPageBreak/>
        <w:t>- ПСН - потенциально возможный годовой доход, установленный региональным нормативным актом;</w:t>
      </w:r>
    </w:p>
    <w:p w:rsidR="00946533" w:rsidRPr="00946533" w:rsidRDefault="00946533" w:rsidP="0094653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6533">
        <w:rPr>
          <w:rFonts w:ascii="Times New Roman" w:hAnsi="Times New Roman" w:cs="Times New Roman"/>
          <w:bCs/>
          <w:sz w:val="28"/>
          <w:szCs w:val="28"/>
        </w:rPr>
        <w:t>- УСН - реализационные и внереализационные доходы без учета расходов;</w:t>
      </w:r>
    </w:p>
    <w:p w:rsidR="00946533" w:rsidRPr="00946533" w:rsidRDefault="00946533" w:rsidP="0094653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6533">
        <w:rPr>
          <w:rFonts w:ascii="Times New Roman" w:hAnsi="Times New Roman" w:cs="Times New Roman"/>
          <w:bCs/>
          <w:sz w:val="28"/>
          <w:szCs w:val="28"/>
        </w:rPr>
        <w:t>- ОСНО - доходы минус предпринимательские вычеты;</w:t>
      </w:r>
    </w:p>
    <w:p w:rsidR="00946533" w:rsidRPr="00946533" w:rsidRDefault="00946533" w:rsidP="0094653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6533">
        <w:rPr>
          <w:rFonts w:ascii="Times New Roman" w:hAnsi="Times New Roman" w:cs="Times New Roman"/>
          <w:bCs/>
          <w:sz w:val="28"/>
          <w:szCs w:val="28"/>
        </w:rPr>
        <w:t>- ЕСХН - реализационные и внереализационные доходы без учета расходов.</w:t>
      </w:r>
    </w:p>
    <w:p w:rsidR="0016084E" w:rsidRPr="0016084E" w:rsidRDefault="0016084E" w:rsidP="0016084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84E">
        <w:rPr>
          <w:rFonts w:ascii="Times New Roman" w:hAnsi="Times New Roman" w:cs="Times New Roman"/>
          <w:bCs/>
          <w:sz w:val="28"/>
          <w:szCs w:val="28"/>
        </w:rPr>
        <w:t>- для плательщиков, применяющих более одного режима налогообложения, облагаемые доходы от деятельности суммируются.</w:t>
      </w:r>
    </w:p>
    <w:p w:rsidR="0016084E" w:rsidRPr="0016084E" w:rsidRDefault="0016084E" w:rsidP="001608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6084E">
        <w:rPr>
          <w:rFonts w:ascii="Times New Roman" w:hAnsi="Times New Roman" w:cs="Times New Roman"/>
          <w:sz w:val="28"/>
          <w:szCs w:val="28"/>
        </w:rPr>
        <w:t>Индивидуальные предприниматели, использующие наемный труд, наравне с организациями признаются плательщиками страховых взносов на обязательные виды социального страхования. Причем исчисление и уплата взносов за работников производятся коммерсантом в том же порядке, который установлен для организаций-работодателей.</w:t>
      </w:r>
    </w:p>
    <w:p w:rsidR="0016084E" w:rsidRPr="0016084E" w:rsidRDefault="0016084E" w:rsidP="002E58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6084E">
        <w:rPr>
          <w:rFonts w:ascii="Times New Roman" w:hAnsi="Times New Roman" w:cs="Times New Roman"/>
          <w:sz w:val="28"/>
          <w:szCs w:val="28"/>
        </w:rPr>
        <w:t>Права и обязанности индивидуальных предпринимателей, использующих наемный труд, сегодня максимально приближены к правам и обязанностям организаций, нанимающих работников на основании трудовых договоров. То есть индивидуальные предприниматели являются практически такими же работодателями, как и коммерческие фирмы. И если ранее при найме рабочей силы им необходимо было регистрировать трудовые договоры своих работников в органах местного самоуправления, то теперь такой обязанности нет. Индивидуальные предприниматели в общем порядке заключают трудовые договоры с работниками, издают приказы о приеме на работу, на основании которых сведения о трудоустройстве вносятся в трудовые книжки работников, и так далее и тому подобное.</w:t>
      </w:r>
    </w:p>
    <w:p w:rsidR="007A352F" w:rsidRPr="0016084E" w:rsidRDefault="007A352F" w:rsidP="0016084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A352F" w:rsidRPr="0016084E" w:rsidSect="007A352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7CA"/>
    <w:rsid w:val="000127CA"/>
    <w:rsid w:val="0016084E"/>
    <w:rsid w:val="002E58A7"/>
    <w:rsid w:val="006D2177"/>
    <w:rsid w:val="007A352F"/>
    <w:rsid w:val="00946533"/>
    <w:rsid w:val="00A85D7F"/>
    <w:rsid w:val="00D062F9"/>
    <w:rsid w:val="00F6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27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127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127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27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A352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85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D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27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127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127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27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A352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85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D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FDA9B73047AF6B475BFA5B3FAD44D1DD3115E90E8F2110D20C4CD7DA074C5DB4F5D676CF8F2AC2BAC732B84C72F4EB8FBEED7A3A8D14CE33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AFDA9B73047AF6B475BFA5B3FAD44D1DD3115E90E8F2110D20C4CD7DA074C5DB4F5D676C88C2DC5BAC732B84C72F4EB8FBEED7A3A8D14CE33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AFDA9B73047AF6B475BFA5B3FAD44D1DD3115E90E8F2110D20C4CD7DA074C5DB4F5D676CE8822C2BAC732B84C72F4EB8FBEED7A3A8D14CE33H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AFDA9B73047AF6B475BFA5B3FAD44D1DD3115E90E8F2110D20C4CD7DA074C5DB4F5D676C88C28CABAC732B84C72F4EB8FBEED7A3A8D14CE33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FDA9B73047AF6B475BFA5B3FAD44D1DD3115E90E8F2110D20C4CD7DA074C5DB4F5D676C88923C0BAC732B84C72F4EB8FBEED7A3A8D14CE3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A4A0A-B987-433A-9A52-95298F522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Ксалова Жанна Хусеевна</dc:creator>
  <cp:lastModifiedBy>Ксалова Жанна Хусеевна</cp:lastModifiedBy>
  <cp:revision>2</cp:revision>
  <cp:lastPrinted>2019-03-11T09:33:00Z</cp:lastPrinted>
  <dcterms:created xsi:type="dcterms:W3CDTF">2019-03-11T14:11:00Z</dcterms:created>
  <dcterms:modified xsi:type="dcterms:W3CDTF">2019-03-11T14:11:00Z</dcterms:modified>
</cp:coreProperties>
</file>