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BC6" w:rsidRPr="00677BC6" w:rsidRDefault="00677BC6">
      <w:pPr>
        <w:pStyle w:val="ConsPlusTitlePage"/>
      </w:pPr>
      <w:r w:rsidRPr="00677BC6">
        <w:br/>
      </w:r>
    </w:p>
    <w:p w:rsidR="00677BC6" w:rsidRPr="00677BC6" w:rsidRDefault="00677BC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677BC6" w:rsidRPr="00677BC6">
        <w:tc>
          <w:tcPr>
            <w:tcW w:w="4677" w:type="dxa"/>
            <w:tcBorders>
              <w:top w:val="nil"/>
              <w:left w:val="nil"/>
              <w:bottom w:val="nil"/>
              <w:right w:val="nil"/>
            </w:tcBorders>
          </w:tcPr>
          <w:p w:rsidR="00677BC6" w:rsidRPr="00677BC6" w:rsidRDefault="00677BC6">
            <w:pPr>
              <w:pStyle w:val="ConsPlusNormal"/>
            </w:pPr>
            <w:bookmarkStart w:id="0" w:name="_GoBack"/>
            <w:r w:rsidRPr="00677BC6">
              <w:t>26 октября 2023 года</w:t>
            </w:r>
          </w:p>
        </w:tc>
        <w:tc>
          <w:tcPr>
            <w:tcW w:w="4677" w:type="dxa"/>
            <w:tcBorders>
              <w:top w:val="nil"/>
              <w:left w:val="nil"/>
              <w:bottom w:val="nil"/>
              <w:right w:val="nil"/>
            </w:tcBorders>
          </w:tcPr>
          <w:p w:rsidR="00677BC6" w:rsidRPr="00677BC6" w:rsidRDefault="00677BC6">
            <w:pPr>
              <w:pStyle w:val="ConsPlusNormal"/>
              <w:jc w:val="right"/>
            </w:pPr>
            <w:r w:rsidRPr="00677BC6">
              <w:t>N 2892-ЗРК</w:t>
            </w:r>
          </w:p>
        </w:tc>
      </w:tr>
    </w:tbl>
    <w:p w:rsidR="00677BC6" w:rsidRPr="00677BC6" w:rsidRDefault="00677BC6">
      <w:pPr>
        <w:pStyle w:val="ConsPlusNormal"/>
        <w:pBdr>
          <w:bottom w:val="single" w:sz="6" w:space="0" w:color="auto"/>
        </w:pBdr>
        <w:spacing w:before="100" w:after="100"/>
        <w:jc w:val="both"/>
        <w:rPr>
          <w:sz w:val="2"/>
          <w:szCs w:val="2"/>
        </w:rPr>
      </w:pPr>
    </w:p>
    <w:bookmarkEnd w:id="0"/>
    <w:p w:rsidR="00677BC6" w:rsidRPr="00677BC6" w:rsidRDefault="00677BC6">
      <w:pPr>
        <w:pStyle w:val="ConsPlusNormal"/>
        <w:jc w:val="both"/>
      </w:pPr>
    </w:p>
    <w:p w:rsidR="00677BC6" w:rsidRPr="00677BC6" w:rsidRDefault="00677BC6">
      <w:pPr>
        <w:pStyle w:val="ConsPlusTitle"/>
        <w:jc w:val="center"/>
      </w:pPr>
      <w:r w:rsidRPr="00677BC6">
        <w:t>РЕСПУБЛИКА КАРЕЛИЯ</w:t>
      </w:r>
    </w:p>
    <w:p w:rsidR="00677BC6" w:rsidRPr="00677BC6" w:rsidRDefault="00677BC6">
      <w:pPr>
        <w:pStyle w:val="ConsPlusTitle"/>
        <w:jc w:val="center"/>
      </w:pPr>
    </w:p>
    <w:p w:rsidR="00677BC6" w:rsidRPr="00677BC6" w:rsidRDefault="00677BC6">
      <w:pPr>
        <w:pStyle w:val="ConsPlusTitle"/>
        <w:jc w:val="center"/>
      </w:pPr>
      <w:r w:rsidRPr="00677BC6">
        <w:t>ЗАКОН</w:t>
      </w:r>
    </w:p>
    <w:p w:rsidR="00677BC6" w:rsidRPr="00677BC6" w:rsidRDefault="00677BC6">
      <w:pPr>
        <w:pStyle w:val="ConsPlusTitle"/>
        <w:jc w:val="center"/>
      </w:pPr>
    </w:p>
    <w:p w:rsidR="00677BC6" w:rsidRPr="00677BC6" w:rsidRDefault="00677BC6">
      <w:pPr>
        <w:pStyle w:val="ConsPlusTitle"/>
        <w:jc w:val="center"/>
      </w:pPr>
      <w:r w:rsidRPr="00677BC6">
        <w:t>О ВНЕСЕНИИ ИЗМЕНЕНИЙ</w:t>
      </w:r>
    </w:p>
    <w:p w:rsidR="00677BC6" w:rsidRPr="00677BC6" w:rsidRDefault="00677BC6">
      <w:pPr>
        <w:pStyle w:val="ConsPlusTitle"/>
        <w:jc w:val="center"/>
      </w:pPr>
      <w:r w:rsidRPr="00677BC6">
        <w:t>В ЗАКОН РЕСПУБЛИКИ КАРЕЛИЯ "О НАЛОГАХ</w:t>
      </w:r>
    </w:p>
    <w:p w:rsidR="00677BC6" w:rsidRPr="00677BC6" w:rsidRDefault="00677BC6">
      <w:pPr>
        <w:pStyle w:val="ConsPlusTitle"/>
        <w:jc w:val="center"/>
      </w:pPr>
      <w:r w:rsidRPr="00677BC6">
        <w:t>(</w:t>
      </w:r>
      <w:proofErr w:type="gramStart"/>
      <w:r w:rsidRPr="00677BC6">
        <w:t>СТАВКАХ</w:t>
      </w:r>
      <w:proofErr w:type="gramEnd"/>
      <w:r w:rsidRPr="00677BC6">
        <w:t xml:space="preserve"> НАЛОГОВ) НА ТЕРРИТОРИИ РЕСПУБЛИКИ КАРЕЛИЯ"</w:t>
      </w:r>
    </w:p>
    <w:p w:rsidR="00677BC6" w:rsidRPr="00677BC6" w:rsidRDefault="00677BC6">
      <w:pPr>
        <w:pStyle w:val="ConsPlusNormal"/>
        <w:jc w:val="both"/>
      </w:pPr>
    </w:p>
    <w:p w:rsidR="00677BC6" w:rsidRPr="00677BC6" w:rsidRDefault="00677BC6">
      <w:pPr>
        <w:pStyle w:val="ConsPlusNormal"/>
        <w:jc w:val="right"/>
      </w:pPr>
      <w:proofErr w:type="gramStart"/>
      <w:r w:rsidRPr="00677BC6">
        <w:t>Принят</w:t>
      </w:r>
      <w:proofErr w:type="gramEnd"/>
    </w:p>
    <w:p w:rsidR="00677BC6" w:rsidRPr="00677BC6" w:rsidRDefault="00677BC6">
      <w:pPr>
        <w:pStyle w:val="ConsPlusNormal"/>
        <w:jc w:val="right"/>
      </w:pPr>
      <w:r w:rsidRPr="00677BC6">
        <w:t>Законодательным Собранием</w:t>
      </w:r>
    </w:p>
    <w:p w:rsidR="00677BC6" w:rsidRPr="00677BC6" w:rsidRDefault="00677BC6">
      <w:pPr>
        <w:pStyle w:val="ConsPlusNormal"/>
        <w:jc w:val="right"/>
      </w:pPr>
      <w:r w:rsidRPr="00677BC6">
        <w:t>Республики Карелия</w:t>
      </w:r>
    </w:p>
    <w:p w:rsidR="00677BC6" w:rsidRPr="00677BC6" w:rsidRDefault="00677BC6">
      <w:pPr>
        <w:pStyle w:val="ConsPlusNormal"/>
        <w:jc w:val="right"/>
      </w:pPr>
      <w:r w:rsidRPr="00677BC6">
        <w:t>19 октября 2023 года</w:t>
      </w:r>
    </w:p>
    <w:p w:rsidR="00677BC6" w:rsidRPr="00677BC6" w:rsidRDefault="00677BC6">
      <w:pPr>
        <w:pStyle w:val="ConsPlusNormal"/>
        <w:jc w:val="both"/>
      </w:pPr>
    </w:p>
    <w:p w:rsidR="00677BC6" w:rsidRPr="00677BC6" w:rsidRDefault="00677BC6">
      <w:pPr>
        <w:pStyle w:val="ConsPlusTitle"/>
        <w:ind w:firstLine="540"/>
        <w:jc w:val="both"/>
        <w:outlineLvl w:val="0"/>
      </w:pPr>
      <w:r w:rsidRPr="00677BC6">
        <w:t>Статья 1</w:t>
      </w:r>
    </w:p>
    <w:p w:rsidR="00677BC6" w:rsidRPr="00677BC6" w:rsidRDefault="00677BC6">
      <w:pPr>
        <w:pStyle w:val="ConsPlusNormal"/>
        <w:jc w:val="both"/>
      </w:pPr>
    </w:p>
    <w:p w:rsidR="00677BC6" w:rsidRPr="00677BC6" w:rsidRDefault="00677BC6">
      <w:pPr>
        <w:pStyle w:val="ConsPlusNormal"/>
        <w:ind w:firstLine="540"/>
        <w:jc w:val="both"/>
      </w:pPr>
      <w:proofErr w:type="gramStart"/>
      <w:r w:rsidRPr="00677BC6">
        <w:t>Внести в Закон Республики Карелия от 30 декабря 1999 года N 384-ЗРК "О налогах (ставках налогов) на территории Республики Карелия" (Собрание законодательства Республики Карелия, 1999, N 12, ст. 1633; 2008, N 10, ст. 1160; 2009, N 6, ст. 609; 2012, N 11, ст. 1934; 2013, N 10, ст. 1736; N 11, ст. 2013;</w:t>
      </w:r>
      <w:proofErr w:type="gramEnd"/>
      <w:r w:rsidRPr="00677BC6">
        <w:t xml:space="preserve"> </w:t>
      </w:r>
      <w:proofErr w:type="gramStart"/>
      <w:r w:rsidRPr="00677BC6">
        <w:t>2014, N 11, ст. 1953; 2015, N 10, ст. 1866; N 11, ст. 2017; 2016, N 11, ст. 2286; 2017, N 11, ст. 2090; 2018, N 4, ст. 688; N 10, ст. 2007; 2019, N 10, ст. 2149; 2020, N 3, ст. 420; N 10, ст. 2354; N 12, ст. 2974;</w:t>
      </w:r>
      <w:proofErr w:type="gramEnd"/>
      <w:r w:rsidRPr="00677BC6">
        <w:t xml:space="preserve"> </w:t>
      </w:r>
      <w:proofErr w:type="gramStart"/>
      <w:r w:rsidRPr="00677BC6">
        <w:t>2021, N 7, ст. 1593; N 11, ст. 2792; 2022, N 3, ст. 532; N 11, ст. 3096; N 12, ст. 3513) следующие изменения:</w:t>
      </w:r>
      <w:proofErr w:type="gramEnd"/>
    </w:p>
    <w:p w:rsidR="00677BC6" w:rsidRPr="00677BC6" w:rsidRDefault="00677BC6">
      <w:pPr>
        <w:pStyle w:val="ConsPlusNormal"/>
        <w:spacing w:before="220"/>
        <w:ind w:firstLine="540"/>
        <w:jc w:val="both"/>
      </w:pPr>
      <w:r w:rsidRPr="00677BC6">
        <w:t>1) пункт 5 статьи 1 признать утратившим силу;</w:t>
      </w:r>
    </w:p>
    <w:p w:rsidR="00677BC6" w:rsidRPr="00677BC6" w:rsidRDefault="00677BC6">
      <w:pPr>
        <w:pStyle w:val="ConsPlusNormal"/>
        <w:spacing w:before="220"/>
        <w:ind w:firstLine="540"/>
        <w:jc w:val="both"/>
      </w:pPr>
      <w:r w:rsidRPr="00677BC6">
        <w:t>2) части 1 и 2 статьи 1.2 изложить в следующей редакции:</w:t>
      </w:r>
    </w:p>
    <w:p w:rsidR="00677BC6" w:rsidRPr="00677BC6" w:rsidRDefault="00677BC6">
      <w:pPr>
        <w:pStyle w:val="ConsPlusNormal"/>
        <w:spacing w:before="220"/>
        <w:ind w:firstLine="540"/>
        <w:jc w:val="both"/>
      </w:pPr>
      <w:r w:rsidRPr="00677BC6">
        <w:t>"1. Установить право на применение инвестиционного налогового вычета по налогу на прибыль организаций (далее - инвестиционный налоговый вычет) в отношении расходов:</w:t>
      </w:r>
    </w:p>
    <w:p w:rsidR="00677BC6" w:rsidRPr="00677BC6" w:rsidRDefault="00677BC6">
      <w:pPr>
        <w:pStyle w:val="ConsPlusNormal"/>
        <w:spacing w:before="220"/>
        <w:ind w:firstLine="540"/>
        <w:jc w:val="both"/>
      </w:pPr>
      <w:r w:rsidRPr="00677BC6">
        <w:t>1) указанных в подпунктах 1 и 2 пункта 2 статьи 286.1 Налогового кодекса Российской Федерации, применительно к объектам основных средств, относящимся к организациям или обособленным подразделениям организаций, расположенным на территории Республики Карелия:</w:t>
      </w:r>
    </w:p>
    <w:p w:rsidR="00677BC6" w:rsidRPr="00677BC6" w:rsidRDefault="00677BC6">
      <w:pPr>
        <w:pStyle w:val="ConsPlusNormal"/>
        <w:spacing w:before="220"/>
        <w:ind w:firstLine="540"/>
        <w:jc w:val="both"/>
      </w:pPr>
      <w:r w:rsidRPr="00677BC6">
        <w:t xml:space="preserve">а) </w:t>
      </w:r>
      <w:proofErr w:type="gramStart"/>
      <w:r w:rsidRPr="00677BC6">
        <w:t>осуществляющим</w:t>
      </w:r>
      <w:proofErr w:type="gramEnd"/>
      <w:r w:rsidRPr="00677BC6">
        <w:t xml:space="preserve"> следующие виды экономической деятельности:</w:t>
      </w:r>
    </w:p>
    <w:p w:rsidR="00677BC6" w:rsidRPr="00677BC6" w:rsidRDefault="00677BC6">
      <w:pPr>
        <w:pStyle w:val="ConsPlusNormal"/>
        <w:spacing w:before="220"/>
        <w:ind w:firstLine="540"/>
        <w:jc w:val="both"/>
      </w:pPr>
      <w:r w:rsidRPr="00677BC6">
        <w:t>деятельность железнодорожного транспорта: междугородные и международные пассажирские перевозки, грузовые перевозки;</w:t>
      </w:r>
    </w:p>
    <w:p w:rsidR="00677BC6" w:rsidRPr="00677BC6" w:rsidRDefault="00677BC6">
      <w:pPr>
        <w:pStyle w:val="ConsPlusNormal"/>
        <w:spacing w:before="220"/>
        <w:ind w:firstLine="540"/>
        <w:jc w:val="both"/>
      </w:pPr>
      <w:r w:rsidRPr="00677BC6">
        <w:t>деятельность вспомогательная прочая, связанная с железнодорожным транспортом;</w:t>
      </w:r>
    </w:p>
    <w:p w:rsidR="00677BC6" w:rsidRPr="00677BC6" w:rsidRDefault="00677BC6">
      <w:pPr>
        <w:pStyle w:val="ConsPlusNormal"/>
        <w:spacing w:before="220"/>
        <w:ind w:firstLine="540"/>
        <w:jc w:val="both"/>
      </w:pPr>
      <w:r w:rsidRPr="00677BC6">
        <w:t>научные исследования и разработки в области естественных и технических наук прочие;</w:t>
      </w:r>
    </w:p>
    <w:p w:rsidR="00677BC6" w:rsidRPr="00677BC6" w:rsidRDefault="00677BC6">
      <w:pPr>
        <w:pStyle w:val="ConsPlusNormal"/>
        <w:spacing w:before="220"/>
        <w:ind w:firstLine="540"/>
        <w:jc w:val="both"/>
      </w:pPr>
      <w:r w:rsidRPr="00677BC6">
        <w:t>обрабатывающие производства, за исключением производства напитков (кроме производства минеральных вод и прочих питьевых вод в бутылках), производства химических веществ и химических продуктов;</w:t>
      </w:r>
    </w:p>
    <w:p w:rsidR="00677BC6" w:rsidRPr="00677BC6" w:rsidRDefault="00677BC6">
      <w:pPr>
        <w:pStyle w:val="ConsPlusNormal"/>
        <w:spacing w:before="220"/>
        <w:ind w:firstLine="540"/>
        <w:jc w:val="both"/>
      </w:pPr>
      <w:r w:rsidRPr="00677BC6">
        <w:t>сбор, обработка и утилизация отходов; обработка вторичного сырья;</w:t>
      </w:r>
    </w:p>
    <w:p w:rsidR="00677BC6" w:rsidRPr="00677BC6" w:rsidRDefault="00677BC6">
      <w:pPr>
        <w:pStyle w:val="ConsPlusNormal"/>
        <w:spacing w:before="220"/>
        <w:ind w:firstLine="540"/>
        <w:jc w:val="both"/>
      </w:pPr>
      <w:r w:rsidRPr="00677BC6">
        <w:lastRenderedPageBreak/>
        <w:t>деятельность в сфере телекоммуникаций;</w:t>
      </w:r>
    </w:p>
    <w:p w:rsidR="00677BC6" w:rsidRPr="00677BC6" w:rsidRDefault="00677BC6">
      <w:pPr>
        <w:pStyle w:val="ConsPlusNormal"/>
        <w:spacing w:before="220"/>
        <w:ind w:firstLine="540"/>
        <w:jc w:val="both"/>
      </w:pPr>
      <w:r w:rsidRPr="00677BC6">
        <w:t>б) являющимся участниками национального проекта "Производительность труда", заключившими с уполномоченным исполнительным органом Республики Карелия соглашение о взаимодействии при реализации мероприятий национального проекта "Производительность труда";</w:t>
      </w:r>
    </w:p>
    <w:p w:rsidR="00677BC6" w:rsidRPr="00677BC6" w:rsidRDefault="00677BC6">
      <w:pPr>
        <w:pStyle w:val="ConsPlusNormal"/>
        <w:spacing w:before="220"/>
        <w:ind w:firstLine="540"/>
        <w:jc w:val="both"/>
      </w:pPr>
      <w:r w:rsidRPr="00677BC6">
        <w:t>2) в виде стоимости движимого и недвижимого имущества (включая денежные средства), безвозмездно переданного образовательным организациям, реализующим образовательные программы среднего профессионального образования на территории Республики Карелия, имеющие государственную аккредитацию.</w:t>
      </w:r>
    </w:p>
    <w:p w:rsidR="00677BC6" w:rsidRPr="00677BC6" w:rsidRDefault="00677BC6">
      <w:pPr>
        <w:pStyle w:val="ConsPlusNormal"/>
        <w:spacing w:before="220"/>
        <w:ind w:firstLine="540"/>
        <w:jc w:val="both"/>
      </w:pPr>
      <w:r w:rsidRPr="00677BC6">
        <w:t>2. Размер инвестиционного налогового вычета текущего отчетного (налогового) периода не может превышать предельную величину инвестиционного налогового вычета и составляет:</w:t>
      </w:r>
    </w:p>
    <w:p w:rsidR="00677BC6" w:rsidRPr="00677BC6" w:rsidRDefault="00677BC6">
      <w:pPr>
        <w:pStyle w:val="ConsPlusNormal"/>
        <w:spacing w:before="220"/>
        <w:ind w:firstLine="540"/>
        <w:jc w:val="both"/>
      </w:pPr>
      <w:r w:rsidRPr="00677BC6">
        <w:t>1) 50 процентов суммы расходов текущего периода, указанных в абзаце втором пункта 1 и в пункте 2 статьи 257 Налогового кодекса Российской Федерации, за исключением расходов на ликвидацию основных средств;</w:t>
      </w:r>
    </w:p>
    <w:p w:rsidR="00677BC6" w:rsidRPr="00677BC6" w:rsidRDefault="00677BC6">
      <w:pPr>
        <w:pStyle w:val="ConsPlusNormal"/>
        <w:spacing w:before="220"/>
        <w:ind w:firstLine="540"/>
        <w:jc w:val="both"/>
      </w:pPr>
      <w:r w:rsidRPr="00677BC6">
        <w:t>2) 50 процентов суммы расходов в виде стоимости движимого и недвижимого имущества (включая денежные средства), безвозмездно переданного образовательным организациям, реализующим образовательные программы среднего профессионального образования на территории Республики Карелия, имеющие государственную аккредитацию, но не более 100 миллионов рублей за год</w:t>
      </w:r>
      <w:proofErr w:type="gramStart"/>
      <w:r w:rsidRPr="00677BC6">
        <w:t>.";</w:t>
      </w:r>
    </w:p>
    <w:p w:rsidR="00677BC6" w:rsidRPr="00677BC6" w:rsidRDefault="00677BC6">
      <w:pPr>
        <w:pStyle w:val="ConsPlusNormal"/>
        <w:spacing w:before="220"/>
        <w:ind w:firstLine="540"/>
        <w:jc w:val="both"/>
      </w:pPr>
      <w:proofErr w:type="gramEnd"/>
      <w:r w:rsidRPr="00677BC6">
        <w:t>3) в статье 3:</w:t>
      </w:r>
    </w:p>
    <w:p w:rsidR="00677BC6" w:rsidRPr="00677BC6" w:rsidRDefault="00677BC6">
      <w:pPr>
        <w:pStyle w:val="ConsPlusNormal"/>
        <w:spacing w:before="220"/>
        <w:ind w:firstLine="540"/>
        <w:jc w:val="both"/>
      </w:pPr>
      <w:r w:rsidRPr="00677BC6">
        <w:t>а) часть 2 изложить в следующей редакции:</w:t>
      </w:r>
    </w:p>
    <w:p w:rsidR="00677BC6" w:rsidRPr="00677BC6" w:rsidRDefault="00677BC6">
      <w:pPr>
        <w:pStyle w:val="ConsPlusNormal"/>
        <w:spacing w:before="220"/>
        <w:ind w:firstLine="540"/>
        <w:jc w:val="both"/>
      </w:pPr>
      <w:r w:rsidRPr="00677BC6">
        <w:t xml:space="preserve">"2. Налоговая ставка по налогу на имущество организаций в отношении недвижимого имущества, указанного в статье 3.1 настоящего Закона, налоговая </w:t>
      </w:r>
      <w:proofErr w:type="gramStart"/>
      <w:r w:rsidRPr="00677BC6">
        <w:t>база</w:t>
      </w:r>
      <w:proofErr w:type="gramEnd"/>
      <w:r w:rsidRPr="00677BC6">
        <w:t xml:space="preserve"> в отношении которого определяется как кадастровая стоимость, за исключением объектов, указанных в части 2.1 настоящей статьи, устанавливается в размере 2 процентов.";</w:t>
      </w:r>
    </w:p>
    <w:p w:rsidR="00677BC6" w:rsidRPr="00677BC6" w:rsidRDefault="00677BC6">
      <w:pPr>
        <w:pStyle w:val="ConsPlusNormal"/>
        <w:spacing w:before="220"/>
        <w:ind w:firstLine="540"/>
        <w:jc w:val="both"/>
      </w:pPr>
      <w:r w:rsidRPr="00677BC6">
        <w:t>б) дополнить частью 2.1 следующего содержания:</w:t>
      </w:r>
    </w:p>
    <w:p w:rsidR="00677BC6" w:rsidRPr="00677BC6" w:rsidRDefault="00677BC6">
      <w:pPr>
        <w:pStyle w:val="ConsPlusNormal"/>
        <w:spacing w:before="220"/>
        <w:ind w:firstLine="540"/>
        <w:jc w:val="both"/>
      </w:pPr>
      <w:r w:rsidRPr="00677BC6">
        <w:t xml:space="preserve">"2.1. </w:t>
      </w:r>
      <w:proofErr w:type="gramStart"/>
      <w:r w:rsidRPr="00677BC6">
        <w:t xml:space="preserve">В отношении жилых помещений, гаражей, </w:t>
      </w:r>
      <w:proofErr w:type="spellStart"/>
      <w:r w:rsidRPr="00677BC6">
        <w:t>машино</w:t>
      </w:r>
      <w:proofErr w:type="spellEnd"/>
      <w:r w:rsidRPr="00677BC6">
        <w:t>-мест, которые принадлежат личному фонду на праве собственности и налоговая база в отношении которых определяется как кадастровая стоимость, за исключением объектов налогообложения, кадастровая стоимость каждого из которых превышает 300 млн. рублей, налоговая ставка по налогу на имущество организаций устанавливается в размере 0,3 процента.";</w:t>
      </w:r>
      <w:proofErr w:type="gramEnd"/>
    </w:p>
    <w:p w:rsidR="00677BC6" w:rsidRPr="00677BC6" w:rsidRDefault="00677BC6">
      <w:pPr>
        <w:pStyle w:val="ConsPlusNormal"/>
        <w:spacing w:before="220"/>
        <w:ind w:firstLine="540"/>
        <w:jc w:val="both"/>
      </w:pPr>
      <w:r w:rsidRPr="00677BC6">
        <w:t>в) пункты 1 и 2 части 3 изложить в следующей редакции:</w:t>
      </w:r>
    </w:p>
    <w:p w:rsidR="00677BC6" w:rsidRPr="00677BC6" w:rsidRDefault="00677BC6">
      <w:pPr>
        <w:pStyle w:val="ConsPlusNormal"/>
        <w:spacing w:before="220"/>
        <w:ind w:firstLine="540"/>
        <w:jc w:val="both"/>
      </w:pPr>
      <w:r w:rsidRPr="00677BC6">
        <w:t>"1) организации, реализующие инвестиционные проекты в соответствии с законодательством Республики Карелия, - в отношении имущества, создаваемого или приобретаемого для реализации инвестиционного проекта, на срок окупаемости инвестиционного проекта, но не свыше:</w:t>
      </w:r>
    </w:p>
    <w:p w:rsidR="00677BC6" w:rsidRPr="00677BC6" w:rsidRDefault="00677BC6">
      <w:pPr>
        <w:pStyle w:val="ConsPlusNormal"/>
        <w:spacing w:before="220"/>
        <w:ind w:firstLine="540"/>
        <w:jc w:val="both"/>
      </w:pPr>
      <w:r w:rsidRPr="00677BC6">
        <w:t>а) пяти лет - в отношении имущества, создаваемого или приобретаемого для реализации инвестиционных проектов, предусмотренных инвестиционными соглашениями, заключенными до 31 декабря 2023 года включительно;</w:t>
      </w:r>
    </w:p>
    <w:p w:rsidR="00677BC6" w:rsidRPr="00677BC6" w:rsidRDefault="00677BC6">
      <w:pPr>
        <w:pStyle w:val="ConsPlusNormal"/>
        <w:spacing w:before="220"/>
        <w:ind w:firstLine="540"/>
        <w:jc w:val="both"/>
      </w:pPr>
      <w:r w:rsidRPr="00677BC6">
        <w:t>б) восьми лет - в отношении имущества, создаваемого или приобретаемого для реализации инвестиционных проектов, предусмотренных инвестиционными соглашениями, заключенными с 1 января 2024 года;</w:t>
      </w:r>
    </w:p>
    <w:p w:rsidR="00677BC6" w:rsidRPr="00677BC6" w:rsidRDefault="00677BC6">
      <w:pPr>
        <w:pStyle w:val="ConsPlusNormal"/>
        <w:spacing w:before="220"/>
        <w:ind w:firstLine="540"/>
        <w:jc w:val="both"/>
      </w:pPr>
      <w:r w:rsidRPr="00677BC6">
        <w:lastRenderedPageBreak/>
        <w:t>2) организации, реализующие приоритетные инвестиционные проекты в соответствии с законодательством Республики Карелия, - в отношении имущества, создаваемого или приобретаемого для реализации приоритетного инвестиционного проекта, на срок окупаемости приоритетного инвестиционного проекта, но не свыше:</w:t>
      </w:r>
    </w:p>
    <w:p w:rsidR="00677BC6" w:rsidRPr="00677BC6" w:rsidRDefault="00677BC6">
      <w:pPr>
        <w:pStyle w:val="ConsPlusNormal"/>
        <w:spacing w:before="220"/>
        <w:ind w:firstLine="540"/>
        <w:jc w:val="both"/>
      </w:pPr>
      <w:r w:rsidRPr="00677BC6">
        <w:t>а) семи лет - в отношении имущества, создаваемого или приобретаемого для реализации приоритетных инвестиционных проектов, предусмотренных инвестиционными соглашениями, заключенными до 31 декабря 2023 года включительно;</w:t>
      </w:r>
    </w:p>
    <w:p w:rsidR="00677BC6" w:rsidRPr="00677BC6" w:rsidRDefault="00677BC6">
      <w:pPr>
        <w:pStyle w:val="ConsPlusNormal"/>
        <w:spacing w:before="220"/>
        <w:ind w:firstLine="540"/>
        <w:jc w:val="both"/>
      </w:pPr>
      <w:r w:rsidRPr="00677BC6">
        <w:t>б) десяти лет - в отношении имущества, создаваемого или приобретаемого для реализации приоритетных инвестиционных проектов, предусмотренных инвестиционными соглашениями, заключенными с 1 января 2024 года</w:t>
      </w:r>
      <w:proofErr w:type="gramStart"/>
      <w:r w:rsidRPr="00677BC6">
        <w:t>;"</w:t>
      </w:r>
      <w:proofErr w:type="gramEnd"/>
      <w:r w:rsidRPr="00677BC6">
        <w:t>;</w:t>
      </w:r>
    </w:p>
    <w:p w:rsidR="00677BC6" w:rsidRPr="00677BC6" w:rsidRDefault="00677BC6">
      <w:pPr>
        <w:pStyle w:val="ConsPlusNormal"/>
        <w:spacing w:before="220"/>
        <w:ind w:firstLine="540"/>
        <w:jc w:val="both"/>
      </w:pPr>
      <w:r w:rsidRPr="00677BC6">
        <w:t>4) в статье 3.1:</w:t>
      </w:r>
    </w:p>
    <w:p w:rsidR="00677BC6" w:rsidRPr="00677BC6" w:rsidRDefault="00677BC6">
      <w:pPr>
        <w:pStyle w:val="ConsPlusNormal"/>
        <w:spacing w:before="220"/>
        <w:ind w:firstLine="540"/>
        <w:jc w:val="both"/>
      </w:pPr>
      <w:r w:rsidRPr="00677BC6">
        <w:t>а) в пункте 1 слова "300 кв. метров" заменить словами "250 кв. метров";</w:t>
      </w:r>
    </w:p>
    <w:p w:rsidR="00677BC6" w:rsidRPr="00677BC6" w:rsidRDefault="00677BC6">
      <w:pPr>
        <w:pStyle w:val="ConsPlusNormal"/>
        <w:spacing w:before="220"/>
        <w:ind w:firstLine="540"/>
        <w:jc w:val="both"/>
      </w:pPr>
      <w:r w:rsidRPr="00677BC6">
        <w:t>б) в пункте 2 слова "300 кв. метров" заменить словами "250 кв. метров";</w:t>
      </w:r>
    </w:p>
    <w:p w:rsidR="00677BC6" w:rsidRPr="00677BC6" w:rsidRDefault="00677BC6">
      <w:pPr>
        <w:pStyle w:val="ConsPlusNormal"/>
        <w:spacing w:before="220"/>
        <w:ind w:firstLine="540"/>
        <w:jc w:val="both"/>
      </w:pPr>
      <w:r w:rsidRPr="00677BC6">
        <w:t>в) пункт 4 изложить в следующей редакции:</w:t>
      </w:r>
    </w:p>
    <w:p w:rsidR="00677BC6" w:rsidRPr="00677BC6" w:rsidRDefault="00677BC6">
      <w:pPr>
        <w:pStyle w:val="ConsPlusNormal"/>
        <w:spacing w:before="220"/>
        <w:ind w:firstLine="540"/>
        <w:jc w:val="both"/>
      </w:pPr>
      <w:r w:rsidRPr="00677BC6">
        <w:t xml:space="preserve">"4) жилых помещений, жилых строений, многоквартирных домов, наемных домов, садовых домов, гаражей, </w:t>
      </w:r>
      <w:proofErr w:type="spellStart"/>
      <w:r w:rsidRPr="00677BC6">
        <w:t>машино</w:t>
      </w:r>
      <w:proofErr w:type="spellEnd"/>
      <w:r w:rsidRPr="00677BC6">
        <w:t>-мест, объектов незавершенного строительства, а также хозяйственных строений или сооружений, расположенных на земельных участках, предоставленных для ведения личного подсобного хозяйства, огородничества, садоводства или индивидуального жилищного строительства</w:t>
      </w:r>
      <w:proofErr w:type="gramStart"/>
      <w:r w:rsidRPr="00677BC6">
        <w:t>.";</w:t>
      </w:r>
      <w:proofErr w:type="gramEnd"/>
    </w:p>
    <w:p w:rsidR="00677BC6" w:rsidRPr="00677BC6" w:rsidRDefault="00677BC6">
      <w:pPr>
        <w:pStyle w:val="ConsPlusNormal"/>
        <w:spacing w:before="220"/>
        <w:ind w:firstLine="540"/>
        <w:jc w:val="both"/>
      </w:pPr>
      <w:r w:rsidRPr="00677BC6">
        <w:t>5) в статье 9.5:</w:t>
      </w:r>
    </w:p>
    <w:p w:rsidR="00677BC6" w:rsidRPr="00677BC6" w:rsidRDefault="00677BC6">
      <w:pPr>
        <w:pStyle w:val="ConsPlusNormal"/>
        <w:spacing w:before="220"/>
        <w:ind w:firstLine="540"/>
        <w:jc w:val="both"/>
      </w:pPr>
      <w:proofErr w:type="gramStart"/>
      <w:r w:rsidRPr="00677BC6">
        <w:t>а) в части 1 цифры "2023" заменить цифрами "2024", слова "3 процентов" заменить словами "4 процентов", слова "8 процентов" заменить словами "9 процентов";</w:t>
      </w:r>
      <w:proofErr w:type="gramEnd"/>
    </w:p>
    <w:p w:rsidR="00677BC6" w:rsidRPr="00677BC6" w:rsidRDefault="00677BC6">
      <w:pPr>
        <w:pStyle w:val="ConsPlusNormal"/>
        <w:spacing w:before="220"/>
        <w:ind w:firstLine="540"/>
        <w:jc w:val="both"/>
      </w:pPr>
      <w:r w:rsidRPr="00677BC6">
        <w:t>б) в части 2:</w:t>
      </w:r>
    </w:p>
    <w:p w:rsidR="00677BC6" w:rsidRPr="00677BC6" w:rsidRDefault="00677BC6">
      <w:pPr>
        <w:pStyle w:val="ConsPlusNormal"/>
        <w:spacing w:before="220"/>
        <w:ind w:firstLine="540"/>
        <w:jc w:val="both"/>
      </w:pPr>
      <w:r w:rsidRPr="00677BC6">
        <w:t>в абзаце первом цифры "2023" заменить цифрами "2024";</w:t>
      </w:r>
    </w:p>
    <w:p w:rsidR="00677BC6" w:rsidRPr="00677BC6" w:rsidRDefault="00677BC6">
      <w:pPr>
        <w:pStyle w:val="ConsPlusNormal"/>
        <w:spacing w:before="220"/>
        <w:ind w:firstLine="540"/>
        <w:jc w:val="both"/>
      </w:pPr>
      <w:r w:rsidRPr="00677BC6">
        <w:t>в пункте 2 цифры "2023" заменить цифрами "2024";</w:t>
      </w:r>
    </w:p>
    <w:p w:rsidR="00677BC6" w:rsidRPr="00677BC6" w:rsidRDefault="00677BC6">
      <w:pPr>
        <w:pStyle w:val="ConsPlusNormal"/>
        <w:spacing w:before="220"/>
        <w:ind w:firstLine="540"/>
        <w:jc w:val="both"/>
      </w:pPr>
      <w:r w:rsidRPr="00677BC6">
        <w:t>6) в статье 11.2 слова "32, 33 и пункте 46.1" заменить словами "33, 34 и пункте 48 (в части, касающейся развозной и разносной розничной торговли)";</w:t>
      </w:r>
    </w:p>
    <w:p w:rsidR="00677BC6" w:rsidRPr="00677BC6" w:rsidRDefault="00677BC6">
      <w:pPr>
        <w:pStyle w:val="ConsPlusNormal"/>
        <w:spacing w:before="220"/>
        <w:ind w:firstLine="540"/>
        <w:jc w:val="both"/>
      </w:pPr>
      <w:r w:rsidRPr="00677BC6">
        <w:t>7) часть 1 статьи 21 изложить в следующей редакции:</w:t>
      </w:r>
    </w:p>
    <w:p w:rsidR="00677BC6" w:rsidRPr="00677BC6" w:rsidRDefault="00677BC6">
      <w:pPr>
        <w:pStyle w:val="ConsPlusNormal"/>
        <w:spacing w:before="220"/>
        <w:ind w:firstLine="540"/>
        <w:jc w:val="both"/>
      </w:pPr>
      <w:r w:rsidRPr="00677BC6">
        <w:t>"1. Налоговые льготы, пониженные ставки налогов, установленные настоящим Законом для организаций и индивидуальных предпринимателей, предоставляются при наличии следующих условий:</w:t>
      </w:r>
    </w:p>
    <w:p w:rsidR="00677BC6" w:rsidRPr="00677BC6" w:rsidRDefault="00677BC6">
      <w:pPr>
        <w:pStyle w:val="ConsPlusNormal"/>
        <w:spacing w:before="220"/>
        <w:ind w:firstLine="540"/>
        <w:jc w:val="both"/>
      </w:pPr>
      <w:proofErr w:type="gramStart"/>
      <w:r w:rsidRPr="00677BC6">
        <w:t>1) отсутствие у организации увеличения отрицательного сальдо единого налогового счета с начала календарного года на первое число месяца, следующего за отчетным (налоговым) периодом, либо возникновения отрицательного сальдо единого налогового счета на первое число месяца, следующего за отчетным (налоговым) периодом, при условии раздельного учета доходов по видам деятельности и раздельного учета имущества для налогоплательщиков, которым пониженная ставка налога на имущество организаций</w:t>
      </w:r>
      <w:proofErr w:type="gramEnd"/>
      <w:r w:rsidRPr="00677BC6">
        <w:t xml:space="preserve"> </w:t>
      </w:r>
      <w:proofErr w:type="gramStart"/>
      <w:r w:rsidRPr="00677BC6">
        <w:t>установлена</w:t>
      </w:r>
      <w:proofErr w:type="gramEnd"/>
      <w:r w:rsidRPr="00677BC6">
        <w:t xml:space="preserve"> в отношении отдельных объектов имущества, признаваемого объектом налогообложения, в целях правильного применения льгот в соответствии с настоящим Законом;</w:t>
      </w:r>
    </w:p>
    <w:p w:rsidR="00677BC6" w:rsidRPr="00677BC6" w:rsidRDefault="00677BC6">
      <w:pPr>
        <w:pStyle w:val="ConsPlusNormal"/>
        <w:spacing w:before="220"/>
        <w:ind w:firstLine="540"/>
        <w:jc w:val="both"/>
      </w:pPr>
      <w:proofErr w:type="gramStart"/>
      <w:r w:rsidRPr="00677BC6">
        <w:t xml:space="preserve">2) отсутствие у индивидуального предпринимателя увеличения отрицательного сальдо </w:t>
      </w:r>
      <w:r w:rsidRPr="00677BC6">
        <w:lastRenderedPageBreak/>
        <w:t>единого налогового счета с начала календарного года на первое число месяца, следующего за налоговым периодом, либо возникновения отрицательного сальдо единого налогового счета на первое число месяца, следующего за налоговым периодом, при условии, если по итогам более двух отчетных периодов в течение налогового периода отрицательное сальдо единого налогового счета не сформировано;</w:t>
      </w:r>
      <w:proofErr w:type="gramEnd"/>
    </w:p>
    <w:p w:rsidR="00677BC6" w:rsidRPr="00677BC6" w:rsidRDefault="00677BC6">
      <w:pPr>
        <w:pStyle w:val="ConsPlusNormal"/>
        <w:spacing w:before="220"/>
        <w:ind w:firstLine="540"/>
        <w:jc w:val="both"/>
      </w:pPr>
      <w:r w:rsidRPr="00677BC6">
        <w:t>3) начисление и выплата организацией (за исключением государственного (муниципального) учреждения) заработной платы работникам не ниже установленного федеральным законом минимального размера оплаты труда с начислением на него районного коэффициента и процентной надбавки за работу в районах Крайнего Севера и приравненных к ним местностях в налоговом (отчетном) периоде</w:t>
      </w:r>
      <w:proofErr w:type="gramStart"/>
      <w:r w:rsidRPr="00677BC6">
        <w:t>.";</w:t>
      </w:r>
      <w:proofErr w:type="gramEnd"/>
    </w:p>
    <w:p w:rsidR="00677BC6" w:rsidRPr="00677BC6" w:rsidRDefault="00677BC6">
      <w:pPr>
        <w:pStyle w:val="ConsPlusNormal"/>
        <w:spacing w:before="220"/>
        <w:ind w:firstLine="540"/>
        <w:jc w:val="both"/>
      </w:pPr>
      <w:r w:rsidRPr="00677BC6">
        <w:t>8) приложение 1.1 изложить в следующей редакции:</w:t>
      </w:r>
    </w:p>
    <w:p w:rsidR="00677BC6" w:rsidRPr="00677BC6" w:rsidRDefault="00677BC6">
      <w:pPr>
        <w:pStyle w:val="ConsPlusNormal"/>
        <w:spacing w:before="220"/>
        <w:jc w:val="right"/>
      </w:pPr>
      <w:r w:rsidRPr="00677BC6">
        <w:t>"Приложение 1.1</w:t>
      </w:r>
    </w:p>
    <w:p w:rsidR="00677BC6" w:rsidRPr="00677BC6" w:rsidRDefault="00677BC6">
      <w:pPr>
        <w:pStyle w:val="ConsPlusNormal"/>
        <w:jc w:val="right"/>
      </w:pPr>
      <w:r w:rsidRPr="00677BC6">
        <w:t>к Закону Республики Карелия</w:t>
      </w:r>
    </w:p>
    <w:p w:rsidR="00677BC6" w:rsidRPr="00677BC6" w:rsidRDefault="00677BC6">
      <w:pPr>
        <w:pStyle w:val="ConsPlusNormal"/>
        <w:jc w:val="right"/>
      </w:pPr>
      <w:r w:rsidRPr="00677BC6">
        <w:t>от 30 декабря 1999 года N 384-ЗРК</w:t>
      </w:r>
    </w:p>
    <w:p w:rsidR="00677BC6" w:rsidRPr="00677BC6" w:rsidRDefault="00677BC6">
      <w:pPr>
        <w:pStyle w:val="ConsPlusNormal"/>
        <w:jc w:val="right"/>
      </w:pPr>
      <w:r w:rsidRPr="00677BC6">
        <w:t>"О налогах (ставках налогов)</w:t>
      </w:r>
    </w:p>
    <w:p w:rsidR="00677BC6" w:rsidRPr="00677BC6" w:rsidRDefault="00677BC6">
      <w:pPr>
        <w:pStyle w:val="ConsPlusNormal"/>
        <w:jc w:val="right"/>
      </w:pPr>
      <w:r w:rsidRPr="00677BC6">
        <w:t>на территории Республики Карелия"</w:t>
      </w:r>
    </w:p>
    <w:p w:rsidR="00677BC6" w:rsidRPr="00677BC6" w:rsidRDefault="00677BC6">
      <w:pPr>
        <w:pStyle w:val="ConsPlusNormal"/>
        <w:jc w:val="right"/>
      </w:pPr>
      <w:proofErr w:type="gramStart"/>
      <w:r w:rsidRPr="00677BC6">
        <w:t>(в редакции Закона</w:t>
      </w:r>
      <w:proofErr w:type="gramEnd"/>
    </w:p>
    <w:p w:rsidR="00677BC6" w:rsidRPr="00677BC6" w:rsidRDefault="00677BC6">
      <w:pPr>
        <w:pStyle w:val="ConsPlusNormal"/>
        <w:jc w:val="right"/>
      </w:pPr>
      <w:r w:rsidRPr="00677BC6">
        <w:t>Республики Карелия</w:t>
      </w:r>
    </w:p>
    <w:p w:rsidR="00677BC6" w:rsidRPr="00677BC6" w:rsidRDefault="00677BC6">
      <w:pPr>
        <w:pStyle w:val="ConsPlusNormal"/>
        <w:jc w:val="right"/>
      </w:pPr>
      <w:r w:rsidRPr="00677BC6">
        <w:t>от 26 октября 2023 года N 2892-ЗРК</w:t>
      </w:r>
    </w:p>
    <w:p w:rsidR="00677BC6" w:rsidRPr="00677BC6" w:rsidRDefault="00677BC6">
      <w:pPr>
        <w:pStyle w:val="ConsPlusNormal"/>
        <w:jc w:val="right"/>
      </w:pPr>
      <w:r w:rsidRPr="00677BC6">
        <w:t>"О внесении изменений в Закон</w:t>
      </w:r>
    </w:p>
    <w:p w:rsidR="00677BC6" w:rsidRPr="00677BC6" w:rsidRDefault="00677BC6">
      <w:pPr>
        <w:pStyle w:val="ConsPlusNormal"/>
        <w:jc w:val="right"/>
      </w:pPr>
      <w:r w:rsidRPr="00677BC6">
        <w:t>Республики Карелия "О налогах</w:t>
      </w:r>
    </w:p>
    <w:p w:rsidR="00677BC6" w:rsidRPr="00677BC6" w:rsidRDefault="00677BC6">
      <w:pPr>
        <w:pStyle w:val="ConsPlusNormal"/>
        <w:jc w:val="right"/>
      </w:pPr>
      <w:r w:rsidRPr="00677BC6">
        <w:t>(</w:t>
      </w:r>
      <w:proofErr w:type="gramStart"/>
      <w:r w:rsidRPr="00677BC6">
        <w:t>ставках</w:t>
      </w:r>
      <w:proofErr w:type="gramEnd"/>
      <w:r w:rsidRPr="00677BC6">
        <w:t xml:space="preserve"> налогов) на территории</w:t>
      </w:r>
    </w:p>
    <w:p w:rsidR="00677BC6" w:rsidRPr="00677BC6" w:rsidRDefault="00677BC6">
      <w:pPr>
        <w:pStyle w:val="ConsPlusNormal"/>
        <w:jc w:val="right"/>
      </w:pPr>
      <w:proofErr w:type="gramStart"/>
      <w:r w:rsidRPr="00677BC6">
        <w:t>Республики Карелия")</w:t>
      </w:r>
      <w:proofErr w:type="gramEnd"/>
    </w:p>
    <w:p w:rsidR="00677BC6" w:rsidRPr="00677BC6" w:rsidRDefault="00677BC6">
      <w:pPr>
        <w:pStyle w:val="ConsPlusNormal"/>
        <w:jc w:val="both"/>
      </w:pPr>
    </w:p>
    <w:p w:rsidR="00677BC6" w:rsidRPr="00677BC6" w:rsidRDefault="00677BC6">
      <w:pPr>
        <w:pStyle w:val="ConsPlusNormal"/>
        <w:jc w:val="center"/>
      </w:pPr>
      <w:r w:rsidRPr="00677BC6">
        <w:t>КОЭФФИЦИЕНТЫ</w:t>
      </w:r>
    </w:p>
    <w:p w:rsidR="00677BC6" w:rsidRPr="00677BC6" w:rsidRDefault="00677BC6">
      <w:pPr>
        <w:pStyle w:val="ConsPlusNormal"/>
        <w:jc w:val="center"/>
      </w:pPr>
      <w:r w:rsidRPr="00677BC6">
        <w:t>ДЛЯ ОПРЕДЕЛЕНИЯ ПОТЕНЦИАЛЬНО ВОЗМОЖНОГО К ПОЛУЧЕНИЮ</w:t>
      </w:r>
    </w:p>
    <w:p w:rsidR="00677BC6" w:rsidRPr="00677BC6" w:rsidRDefault="00677BC6">
      <w:pPr>
        <w:pStyle w:val="ConsPlusNormal"/>
        <w:jc w:val="center"/>
      </w:pPr>
      <w:r w:rsidRPr="00677BC6">
        <w:t>ИНДИВИДУАЛЬНЫМ ПРЕДПРИНИМАТЕЛЕМ ГОДОВОГО ДОХОДА ПО ВИДАМ</w:t>
      </w:r>
    </w:p>
    <w:p w:rsidR="00677BC6" w:rsidRPr="00677BC6" w:rsidRDefault="00677BC6">
      <w:pPr>
        <w:pStyle w:val="ConsPlusNormal"/>
        <w:jc w:val="center"/>
      </w:pPr>
      <w:r w:rsidRPr="00677BC6">
        <w:t>ПРЕДПРИНИМАТЕЛЬСКОЙ ДЕЯТЕЛЬНОСТИ, В ОТНОШЕНИИ КОТОРЫХ</w:t>
      </w:r>
    </w:p>
    <w:p w:rsidR="00677BC6" w:rsidRPr="00677BC6" w:rsidRDefault="00677BC6">
      <w:pPr>
        <w:pStyle w:val="ConsPlusNormal"/>
        <w:jc w:val="center"/>
      </w:pPr>
      <w:r w:rsidRPr="00677BC6">
        <w:t>ПРИМЕНЯЕТСЯ ПАТЕНТНАЯ СИСТЕМА НАЛОГООБЛОЖЕНИЯ, В ЗАВИСИМОСТИ</w:t>
      </w:r>
    </w:p>
    <w:p w:rsidR="00677BC6" w:rsidRPr="00677BC6" w:rsidRDefault="00677BC6">
      <w:pPr>
        <w:pStyle w:val="ConsPlusNormal"/>
        <w:jc w:val="center"/>
      </w:pPr>
      <w:r w:rsidRPr="00677BC6">
        <w:t>ОТ ТЕРРИТОРИИ ДЕЙСТВИЯ ПАТЕНТОВ</w:t>
      </w:r>
    </w:p>
    <w:p w:rsidR="00677BC6" w:rsidRPr="00677BC6" w:rsidRDefault="00677B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86"/>
        <w:gridCol w:w="1985"/>
      </w:tblGrid>
      <w:tr w:rsidR="00677BC6" w:rsidRPr="00677BC6">
        <w:tc>
          <w:tcPr>
            <w:tcW w:w="7086" w:type="dxa"/>
          </w:tcPr>
          <w:p w:rsidR="00677BC6" w:rsidRPr="00677BC6" w:rsidRDefault="00677BC6">
            <w:pPr>
              <w:pStyle w:val="ConsPlusNormal"/>
              <w:jc w:val="center"/>
            </w:pPr>
            <w:r w:rsidRPr="00677BC6">
              <w:t>Территория действия патентов</w:t>
            </w:r>
          </w:p>
          <w:p w:rsidR="00677BC6" w:rsidRPr="00677BC6" w:rsidRDefault="00677BC6">
            <w:pPr>
              <w:pStyle w:val="ConsPlusNormal"/>
              <w:jc w:val="center"/>
            </w:pPr>
            <w:r w:rsidRPr="00677BC6">
              <w:t>(группа муниципальных образований)</w:t>
            </w:r>
          </w:p>
        </w:tc>
        <w:tc>
          <w:tcPr>
            <w:tcW w:w="1985" w:type="dxa"/>
          </w:tcPr>
          <w:p w:rsidR="00677BC6" w:rsidRPr="00677BC6" w:rsidRDefault="00677BC6">
            <w:pPr>
              <w:pStyle w:val="ConsPlusNormal"/>
              <w:jc w:val="center"/>
            </w:pPr>
            <w:r w:rsidRPr="00677BC6">
              <w:t>Коэффициент</w:t>
            </w:r>
          </w:p>
        </w:tc>
      </w:tr>
      <w:tr w:rsidR="00677BC6" w:rsidRPr="00677BC6">
        <w:tc>
          <w:tcPr>
            <w:tcW w:w="7086" w:type="dxa"/>
          </w:tcPr>
          <w:p w:rsidR="00677BC6" w:rsidRPr="00677BC6" w:rsidRDefault="00677BC6">
            <w:pPr>
              <w:pStyle w:val="ConsPlusNormal"/>
            </w:pPr>
            <w:r w:rsidRPr="00677BC6">
              <w:t>Петрозаводский городской округ</w:t>
            </w:r>
          </w:p>
        </w:tc>
        <w:tc>
          <w:tcPr>
            <w:tcW w:w="1985" w:type="dxa"/>
          </w:tcPr>
          <w:p w:rsidR="00677BC6" w:rsidRPr="00677BC6" w:rsidRDefault="00677BC6">
            <w:pPr>
              <w:pStyle w:val="ConsPlusNormal"/>
              <w:jc w:val="center"/>
            </w:pPr>
            <w:r w:rsidRPr="00677BC6">
              <w:t>1,0</w:t>
            </w:r>
          </w:p>
        </w:tc>
      </w:tr>
      <w:tr w:rsidR="00677BC6" w:rsidRPr="00677BC6">
        <w:tc>
          <w:tcPr>
            <w:tcW w:w="7086" w:type="dxa"/>
          </w:tcPr>
          <w:p w:rsidR="00677BC6" w:rsidRPr="00677BC6" w:rsidRDefault="00677BC6">
            <w:pPr>
              <w:pStyle w:val="ConsPlusNormal"/>
            </w:pPr>
            <w:proofErr w:type="spellStart"/>
            <w:r w:rsidRPr="00677BC6">
              <w:t>Костомукшский</w:t>
            </w:r>
            <w:proofErr w:type="spellEnd"/>
            <w:r w:rsidRPr="00677BC6">
              <w:t xml:space="preserve"> городской округ, </w:t>
            </w:r>
            <w:proofErr w:type="spellStart"/>
            <w:r w:rsidRPr="00677BC6">
              <w:t>Питкярантский</w:t>
            </w:r>
            <w:proofErr w:type="spellEnd"/>
            <w:r w:rsidRPr="00677BC6">
              <w:t xml:space="preserve"> муниципальный округ, </w:t>
            </w:r>
            <w:proofErr w:type="gramStart"/>
            <w:r w:rsidRPr="00677BC6">
              <w:t>Сортавальское</w:t>
            </w:r>
            <w:proofErr w:type="gramEnd"/>
            <w:r w:rsidRPr="00677BC6">
              <w:t xml:space="preserve">, </w:t>
            </w:r>
            <w:proofErr w:type="spellStart"/>
            <w:r w:rsidRPr="00677BC6">
              <w:t>Лахденпохское</w:t>
            </w:r>
            <w:proofErr w:type="spellEnd"/>
            <w:r w:rsidRPr="00677BC6">
              <w:t xml:space="preserve">, </w:t>
            </w:r>
            <w:proofErr w:type="spellStart"/>
            <w:r w:rsidRPr="00677BC6">
              <w:t>Кондопожское</w:t>
            </w:r>
            <w:proofErr w:type="spellEnd"/>
            <w:r w:rsidRPr="00677BC6">
              <w:t xml:space="preserve"> городские поселения</w:t>
            </w:r>
          </w:p>
        </w:tc>
        <w:tc>
          <w:tcPr>
            <w:tcW w:w="1985" w:type="dxa"/>
          </w:tcPr>
          <w:p w:rsidR="00677BC6" w:rsidRPr="00677BC6" w:rsidRDefault="00677BC6">
            <w:pPr>
              <w:pStyle w:val="ConsPlusNormal"/>
              <w:jc w:val="center"/>
            </w:pPr>
            <w:r w:rsidRPr="00677BC6">
              <w:t>0,9</w:t>
            </w:r>
          </w:p>
        </w:tc>
      </w:tr>
      <w:tr w:rsidR="00677BC6" w:rsidRPr="00677BC6">
        <w:tc>
          <w:tcPr>
            <w:tcW w:w="7086" w:type="dxa"/>
          </w:tcPr>
          <w:p w:rsidR="00677BC6" w:rsidRPr="00677BC6" w:rsidRDefault="00677BC6">
            <w:pPr>
              <w:pStyle w:val="ConsPlusNormal"/>
            </w:pPr>
            <w:proofErr w:type="gramStart"/>
            <w:r w:rsidRPr="00677BC6">
              <w:t xml:space="preserve">Городские поселения (за исключением </w:t>
            </w:r>
            <w:proofErr w:type="spellStart"/>
            <w:r w:rsidRPr="00677BC6">
              <w:t>Калевальского</w:t>
            </w:r>
            <w:proofErr w:type="spellEnd"/>
            <w:r w:rsidRPr="00677BC6">
              <w:t xml:space="preserve">, </w:t>
            </w:r>
            <w:proofErr w:type="spellStart"/>
            <w:r w:rsidRPr="00677BC6">
              <w:t>Кемского</w:t>
            </w:r>
            <w:proofErr w:type="spellEnd"/>
            <w:r w:rsidRPr="00677BC6">
              <w:t xml:space="preserve">, </w:t>
            </w:r>
            <w:proofErr w:type="spellStart"/>
            <w:r w:rsidRPr="00677BC6">
              <w:t>Лоухского</w:t>
            </w:r>
            <w:proofErr w:type="spellEnd"/>
            <w:r w:rsidRPr="00677BC6">
              <w:t xml:space="preserve">, </w:t>
            </w:r>
            <w:proofErr w:type="spellStart"/>
            <w:r w:rsidRPr="00677BC6">
              <w:t>Пяозерского</w:t>
            </w:r>
            <w:proofErr w:type="spellEnd"/>
            <w:r w:rsidRPr="00677BC6">
              <w:t xml:space="preserve">, </w:t>
            </w:r>
            <w:proofErr w:type="spellStart"/>
            <w:r w:rsidRPr="00677BC6">
              <w:t>Чупинского</w:t>
            </w:r>
            <w:proofErr w:type="spellEnd"/>
            <w:r w:rsidRPr="00677BC6">
              <w:t xml:space="preserve">, Сортавальского, </w:t>
            </w:r>
            <w:proofErr w:type="spellStart"/>
            <w:r w:rsidRPr="00677BC6">
              <w:t>Лахденпохского</w:t>
            </w:r>
            <w:proofErr w:type="spellEnd"/>
            <w:r w:rsidRPr="00677BC6">
              <w:t xml:space="preserve">, </w:t>
            </w:r>
            <w:proofErr w:type="spellStart"/>
            <w:r w:rsidRPr="00677BC6">
              <w:t>Кондопожского</w:t>
            </w:r>
            <w:proofErr w:type="spellEnd"/>
            <w:r w:rsidRPr="00677BC6">
              <w:t xml:space="preserve"> городских поселений)</w:t>
            </w:r>
            <w:proofErr w:type="gramEnd"/>
          </w:p>
        </w:tc>
        <w:tc>
          <w:tcPr>
            <w:tcW w:w="1985" w:type="dxa"/>
          </w:tcPr>
          <w:p w:rsidR="00677BC6" w:rsidRPr="00677BC6" w:rsidRDefault="00677BC6">
            <w:pPr>
              <w:pStyle w:val="ConsPlusNormal"/>
              <w:jc w:val="center"/>
            </w:pPr>
            <w:r w:rsidRPr="00677BC6">
              <w:t>0,7</w:t>
            </w:r>
          </w:p>
        </w:tc>
      </w:tr>
      <w:tr w:rsidR="00677BC6" w:rsidRPr="00677BC6">
        <w:tc>
          <w:tcPr>
            <w:tcW w:w="7086" w:type="dxa"/>
          </w:tcPr>
          <w:p w:rsidR="00677BC6" w:rsidRPr="00677BC6" w:rsidRDefault="00677BC6">
            <w:pPr>
              <w:pStyle w:val="ConsPlusNormal"/>
            </w:pPr>
            <w:proofErr w:type="gramStart"/>
            <w:r w:rsidRPr="00677BC6">
              <w:t>Беломорский</w:t>
            </w:r>
            <w:proofErr w:type="gramEnd"/>
            <w:r w:rsidRPr="00677BC6">
              <w:t xml:space="preserve">, Сегежский, </w:t>
            </w:r>
            <w:proofErr w:type="spellStart"/>
            <w:r w:rsidRPr="00677BC6">
              <w:t>Суоярвский</w:t>
            </w:r>
            <w:proofErr w:type="spellEnd"/>
            <w:r w:rsidRPr="00677BC6">
              <w:t xml:space="preserve"> муниципальные округа, </w:t>
            </w:r>
            <w:proofErr w:type="spellStart"/>
            <w:r w:rsidRPr="00677BC6">
              <w:t>Калевальское</w:t>
            </w:r>
            <w:proofErr w:type="spellEnd"/>
            <w:r w:rsidRPr="00677BC6">
              <w:t xml:space="preserve">, </w:t>
            </w:r>
            <w:proofErr w:type="spellStart"/>
            <w:r w:rsidRPr="00677BC6">
              <w:t>Кемское</w:t>
            </w:r>
            <w:proofErr w:type="spellEnd"/>
            <w:r w:rsidRPr="00677BC6">
              <w:t xml:space="preserve">, </w:t>
            </w:r>
            <w:proofErr w:type="spellStart"/>
            <w:r w:rsidRPr="00677BC6">
              <w:t>Лоухское</w:t>
            </w:r>
            <w:proofErr w:type="spellEnd"/>
            <w:r w:rsidRPr="00677BC6">
              <w:t xml:space="preserve">, </w:t>
            </w:r>
            <w:proofErr w:type="spellStart"/>
            <w:r w:rsidRPr="00677BC6">
              <w:t>Пяозерское</w:t>
            </w:r>
            <w:proofErr w:type="spellEnd"/>
            <w:r w:rsidRPr="00677BC6">
              <w:t xml:space="preserve">, </w:t>
            </w:r>
            <w:proofErr w:type="spellStart"/>
            <w:r w:rsidRPr="00677BC6">
              <w:t>Чупинское</w:t>
            </w:r>
            <w:proofErr w:type="spellEnd"/>
            <w:r w:rsidRPr="00677BC6">
              <w:t xml:space="preserve"> городские поселения</w:t>
            </w:r>
          </w:p>
        </w:tc>
        <w:tc>
          <w:tcPr>
            <w:tcW w:w="1985" w:type="dxa"/>
          </w:tcPr>
          <w:p w:rsidR="00677BC6" w:rsidRPr="00677BC6" w:rsidRDefault="00677BC6">
            <w:pPr>
              <w:pStyle w:val="ConsPlusNormal"/>
              <w:jc w:val="center"/>
            </w:pPr>
            <w:r w:rsidRPr="00677BC6">
              <w:t>0,5</w:t>
            </w:r>
          </w:p>
        </w:tc>
      </w:tr>
      <w:tr w:rsidR="00677BC6" w:rsidRPr="00677BC6">
        <w:tc>
          <w:tcPr>
            <w:tcW w:w="7086" w:type="dxa"/>
          </w:tcPr>
          <w:p w:rsidR="00677BC6" w:rsidRPr="00677BC6" w:rsidRDefault="00677BC6">
            <w:pPr>
              <w:pStyle w:val="ConsPlusNormal"/>
            </w:pPr>
            <w:proofErr w:type="gramStart"/>
            <w:r w:rsidRPr="00677BC6">
              <w:t xml:space="preserve">Сельские поселения (за исключением </w:t>
            </w:r>
            <w:proofErr w:type="spellStart"/>
            <w:r w:rsidRPr="00677BC6">
              <w:t>Амбарнского</w:t>
            </w:r>
            <w:proofErr w:type="spellEnd"/>
            <w:r w:rsidRPr="00677BC6">
              <w:t xml:space="preserve">, Боровского, </w:t>
            </w:r>
            <w:proofErr w:type="spellStart"/>
            <w:r w:rsidRPr="00677BC6">
              <w:t>Кривопорожского</w:t>
            </w:r>
            <w:proofErr w:type="spellEnd"/>
            <w:r w:rsidRPr="00677BC6">
              <w:t xml:space="preserve">, </w:t>
            </w:r>
            <w:proofErr w:type="spellStart"/>
            <w:r w:rsidRPr="00677BC6">
              <w:t>Куземского</w:t>
            </w:r>
            <w:proofErr w:type="spellEnd"/>
            <w:r w:rsidRPr="00677BC6">
              <w:t xml:space="preserve">, </w:t>
            </w:r>
            <w:proofErr w:type="spellStart"/>
            <w:r w:rsidRPr="00677BC6">
              <w:t>Кестеньгского</w:t>
            </w:r>
            <w:proofErr w:type="spellEnd"/>
            <w:r w:rsidRPr="00677BC6">
              <w:t xml:space="preserve">, </w:t>
            </w:r>
            <w:proofErr w:type="spellStart"/>
            <w:r w:rsidRPr="00677BC6">
              <w:t>Луусалмского</w:t>
            </w:r>
            <w:proofErr w:type="spellEnd"/>
            <w:r w:rsidRPr="00677BC6">
              <w:t xml:space="preserve">, </w:t>
            </w:r>
            <w:proofErr w:type="spellStart"/>
            <w:r w:rsidRPr="00677BC6">
              <w:t>Малиновараккского</w:t>
            </w:r>
            <w:proofErr w:type="spellEnd"/>
            <w:r w:rsidRPr="00677BC6">
              <w:t xml:space="preserve">, </w:t>
            </w:r>
            <w:proofErr w:type="spellStart"/>
            <w:r w:rsidRPr="00677BC6">
              <w:t>Рабочеостровского</w:t>
            </w:r>
            <w:proofErr w:type="spellEnd"/>
            <w:r w:rsidRPr="00677BC6">
              <w:t xml:space="preserve">, </w:t>
            </w:r>
            <w:proofErr w:type="spellStart"/>
            <w:r w:rsidRPr="00677BC6">
              <w:t>Плотинского</w:t>
            </w:r>
            <w:proofErr w:type="spellEnd"/>
            <w:r w:rsidRPr="00677BC6">
              <w:t xml:space="preserve">, </w:t>
            </w:r>
            <w:proofErr w:type="spellStart"/>
            <w:r w:rsidRPr="00677BC6">
              <w:t>Юшкозерского</w:t>
            </w:r>
            <w:proofErr w:type="spellEnd"/>
            <w:r w:rsidRPr="00677BC6">
              <w:t xml:space="preserve"> сельских поселений)</w:t>
            </w:r>
            <w:proofErr w:type="gramEnd"/>
          </w:p>
        </w:tc>
        <w:tc>
          <w:tcPr>
            <w:tcW w:w="1985" w:type="dxa"/>
          </w:tcPr>
          <w:p w:rsidR="00677BC6" w:rsidRPr="00677BC6" w:rsidRDefault="00677BC6">
            <w:pPr>
              <w:pStyle w:val="ConsPlusNormal"/>
              <w:jc w:val="center"/>
            </w:pPr>
            <w:r w:rsidRPr="00677BC6">
              <w:t>0,5</w:t>
            </w:r>
          </w:p>
        </w:tc>
      </w:tr>
      <w:tr w:rsidR="00677BC6" w:rsidRPr="00677BC6">
        <w:tc>
          <w:tcPr>
            <w:tcW w:w="7086" w:type="dxa"/>
          </w:tcPr>
          <w:p w:rsidR="00677BC6" w:rsidRPr="00677BC6" w:rsidRDefault="00677BC6">
            <w:pPr>
              <w:pStyle w:val="ConsPlusNormal"/>
            </w:pPr>
            <w:proofErr w:type="spellStart"/>
            <w:r w:rsidRPr="00677BC6">
              <w:lastRenderedPageBreak/>
              <w:t>Амбарнское</w:t>
            </w:r>
            <w:proofErr w:type="spellEnd"/>
            <w:r w:rsidRPr="00677BC6">
              <w:t xml:space="preserve">, </w:t>
            </w:r>
            <w:proofErr w:type="spellStart"/>
            <w:r w:rsidRPr="00677BC6">
              <w:t>Боровское</w:t>
            </w:r>
            <w:proofErr w:type="spellEnd"/>
            <w:r w:rsidRPr="00677BC6">
              <w:t xml:space="preserve">, </w:t>
            </w:r>
            <w:proofErr w:type="spellStart"/>
            <w:r w:rsidRPr="00677BC6">
              <w:t>Кривопорожское</w:t>
            </w:r>
            <w:proofErr w:type="spellEnd"/>
            <w:r w:rsidRPr="00677BC6">
              <w:t xml:space="preserve">, </w:t>
            </w:r>
            <w:proofErr w:type="spellStart"/>
            <w:r w:rsidRPr="00677BC6">
              <w:t>Куземское</w:t>
            </w:r>
            <w:proofErr w:type="spellEnd"/>
            <w:r w:rsidRPr="00677BC6">
              <w:t xml:space="preserve">, </w:t>
            </w:r>
            <w:proofErr w:type="spellStart"/>
            <w:r w:rsidRPr="00677BC6">
              <w:t>Кестеньгское</w:t>
            </w:r>
            <w:proofErr w:type="spellEnd"/>
            <w:r w:rsidRPr="00677BC6">
              <w:t xml:space="preserve">, </w:t>
            </w:r>
            <w:proofErr w:type="spellStart"/>
            <w:r w:rsidRPr="00677BC6">
              <w:t>Луусалмское</w:t>
            </w:r>
            <w:proofErr w:type="spellEnd"/>
            <w:r w:rsidRPr="00677BC6">
              <w:t xml:space="preserve">, </w:t>
            </w:r>
            <w:proofErr w:type="spellStart"/>
            <w:r w:rsidRPr="00677BC6">
              <w:t>Малиновараккское</w:t>
            </w:r>
            <w:proofErr w:type="spellEnd"/>
            <w:r w:rsidRPr="00677BC6">
              <w:t xml:space="preserve">, </w:t>
            </w:r>
            <w:proofErr w:type="spellStart"/>
            <w:r w:rsidRPr="00677BC6">
              <w:t>Рабочеостровское</w:t>
            </w:r>
            <w:proofErr w:type="spellEnd"/>
            <w:r w:rsidRPr="00677BC6">
              <w:t xml:space="preserve">, </w:t>
            </w:r>
            <w:proofErr w:type="spellStart"/>
            <w:r w:rsidRPr="00677BC6">
              <w:t>Плотинское</w:t>
            </w:r>
            <w:proofErr w:type="spellEnd"/>
            <w:r w:rsidRPr="00677BC6">
              <w:t xml:space="preserve">, </w:t>
            </w:r>
            <w:proofErr w:type="spellStart"/>
            <w:r w:rsidRPr="00677BC6">
              <w:t>Юшкозерское</w:t>
            </w:r>
            <w:proofErr w:type="spellEnd"/>
            <w:r w:rsidRPr="00677BC6">
              <w:t xml:space="preserve"> сельские поселения</w:t>
            </w:r>
          </w:p>
        </w:tc>
        <w:tc>
          <w:tcPr>
            <w:tcW w:w="1985" w:type="dxa"/>
          </w:tcPr>
          <w:p w:rsidR="00677BC6" w:rsidRPr="00677BC6" w:rsidRDefault="00677BC6">
            <w:pPr>
              <w:pStyle w:val="ConsPlusNormal"/>
              <w:jc w:val="center"/>
            </w:pPr>
            <w:r w:rsidRPr="00677BC6">
              <w:t>0,25</w:t>
            </w:r>
          </w:p>
        </w:tc>
      </w:tr>
    </w:tbl>
    <w:p w:rsidR="00677BC6" w:rsidRPr="00677BC6" w:rsidRDefault="00677BC6">
      <w:pPr>
        <w:pStyle w:val="ConsPlusNormal"/>
        <w:jc w:val="right"/>
      </w:pPr>
      <w:r w:rsidRPr="00677BC6">
        <w:t>";</w:t>
      </w:r>
    </w:p>
    <w:p w:rsidR="00677BC6" w:rsidRPr="00677BC6" w:rsidRDefault="00677BC6">
      <w:pPr>
        <w:pStyle w:val="ConsPlusNormal"/>
        <w:jc w:val="both"/>
      </w:pPr>
    </w:p>
    <w:p w:rsidR="00677BC6" w:rsidRPr="00677BC6" w:rsidRDefault="00677BC6">
      <w:pPr>
        <w:pStyle w:val="ConsPlusNormal"/>
        <w:ind w:firstLine="540"/>
        <w:jc w:val="both"/>
      </w:pPr>
      <w:r w:rsidRPr="00677BC6">
        <w:t>9) в приложении 2 строку</w:t>
      </w:r>
    </w:p>
    <w:p w:rsidR="00677BC6" w:rsidRPr="00677BC6" w:rsidRDefault="00677BC6">
      <w:pPr>
        <w:pStyle w:val="ConsPlusNormal"/>
        <w:jc w:val="both"/>
      </w:pPr>
    </w:p>
    <w:p w:rsidR="00677BC6" w:rsidRPr="00677BC6" w:rsidRDefault="00677BC6">
      <w:pPr>
        <w:pStyle w:val="ConsPlusNormal"/>
      </w:pPr>
      <w:r w:rsidRPr="00677BC6">
        <w:t>"</w:t>
      </w:r>
    </w:p>
    <w:p w:rsidR="00677BC6" w:rsidRPr="00677BC6" w:rsidRDefault="00677BC6">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788"/>
      </w:tblGrid>
      <w:tr w:rsidR="00677BC6" w:rsidRPr="00677BC6">
        <w:tc>
          <w:tcPr>
            <w:tcW w:w="8788" w:type="dxa"/>
            <w:tcBorders>
              <w:top w:val="single" w:sz="4" w:space="0" w:color="auto"/>
              <w:left w:val="single" w:sz="4" w:space="0" w:color="auto"/>
              <w:bottom w:val="single" w:sz="4" w:space="0" w:color="auto"/>
              <w:right w:val="single" w:sz="4" w:space="0" w:color="auto"/>
            </w:tcBorders>
          </w:tcPr>
          <w:p w:rsidR="00677BC6" w:rsidRPr="00677BC6" w:rsidRDefault="00677BC6">
            <w:pPr>
              <w:pStyle w:val="ConsPlusNormal"/>
              <w:jc w:val="both"/>
            </w:pPr>
            <w:r w:rsidRPr="00677BC6">
              <w:t>Для видов предпринимательской деятельности, указанных в пунктах 1-9, 12-18, 21-32, 35-45, 50-103 приложения 1, в зависимости от средней численности наемных работников</w:t>
            </w:r>
          </w:p>
        </w:tc>
      </w:tr>
    </w:tbl>
    <w:p w:rsidR="00677BC6" w:rsidRPr="00677BC6" w:rsidRDefault="00677BC6">
      <w:pPr>
        <w:pStyle w:val="ConsPlusNormal"/>
        <w:spacing w:before="220"/>
        <w:jc w:val="right"/>
      </w:pPr>
      <w:r w:rsidRPr="00677BC6">
        <w:t>"</w:t>
      </w:r>
    </w:p>
    <w:p w:rsidR="00677BC6" w:rsidRPr="00677BC6" w:rsidRDefault="00677BC6">
      <w:pPr>
        <w:pStyle w:val="ConsPlusNormal"/>
        <w:jc w:val="both"/>
      </w:pPr>
    </w:p>
    <w:p w:rsidR="00677BC6" w:rsidRPr="00677BC6" w:rsidRDefault="00677BC6">
      <w:pPr>
        <w:pStyle w:val="ConsPlusNormal"/>
        <w:ind w:firstLine="540"/>
        <w:jc w:val="both"/>
      </w:pPr>
      <w:r w:rsidRPr="00677BC6">
        <w:t>изложить в следующей редакции:</w:t>
      </w:r>
    </w:p>
    <w:p w:rsidR="00677BC6" w:rsidRPr="00677BC6" w:rsidRDefault="00677BC6">
      <w:pPr>
        <w:pStyle w:val="ConsPlusNormal"/>
        <w:jc w:val="both"/>
      </w:pPr>
    </w:p>
    <w:p w:rsidR="00677BC6" w:rsidRPr="00677BC6" w:rsidRDefault="00677BC6">
      <w:pPr>
        <w:pStyle w:val="ConsPlusNormal"/>
      </w:pPr>
      <w:r w:rsidRPr="00677BC6">
        <w:t>"</w:t>
      </w:r>
    </w:p>
    <w:p w:rsidR="00677BC6" w:rsidRPr="00677BC6" w:rsidRDefault="00677BC6">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788"/>
      </w:tblGrid>
      <w:tr w:rsidR="00677BC6" w:rsidRPr="00677BC6">
        <w:tc>
          <w:tcPr>
            <w:tcW w:w="8788" w:type="dxa"/>
            <w:tcBorders>
              <w:top w:val="single" w:sz="4" w:space="0" w:color="auto"/>
              <w:left w:val="single" w:sz="4" w:space="0" w:color="auto"/>
              <w:bottom w:val="single" w:sz="4" w:space="0" w:color="auto"/>
              <w:right w:val="single" w:sz="4" w:space="0" w:color="auto"/>
            </w:tcBorders>
          </w:tcPr>
          <w:p w:rsidR="00677BC6" w:rsidRPr="00677BC6" w:rsidRDefault="00677BC6">
            <w:pPr>
              <w:pStyle w:val="ConsPlusNormal"/>
              <w:jc w:val="both"/>
            </w:pPr>
            <w:r w:rsidRPr="00677BC6">
              <w:t>Для видов предпринимательской деятельности, указанных в пунктах 1-9, 12-18, 21-32, 35-45, 50-87, 89-103, 105-107 приложения 1, в зависимости от средней численности наемных работников</w:t>
            </w:r>
          </w:p>
        </w:tc>
      </w:tr>
    </w:tbl>
    <w:p w:rsidR="00677BC6" w:rsidRPr="00677BC6" w:rsidRDefault="00677BC6">
      <w:pPr>
        <w:pStyle w:val="ConsPlusNormal"/>
        <w:spacing w:before="220"/>
        <w:jc w:val="right"/>
      </w:pPr>
      <w:r w:rsidRPr="00677BC6">
        <w:t>".</w:t>
      </w:r>
    </w:p>
    <w:p w:rsidR="00677BC6" w:rsidRPr="00677BC6" w:rsidRDefault="00677BC6">
      <w:pPr>
        <w:pStyle w:val="ConsPlusNormal"/>
        <w:jc w:val="both"/>
      </w:pPr>
    </w:p>
    <w:p w:rsidR="00677BC6" w:rsidRPr="00677BC6" w:rsidRDefault="00677BC6">
      <w:pPr>
        <w:pStyle w:val="ConsPlusTitle"/>
        <w:ind w:firstLine="540"/>
        <w:jc w:val="both"/>
        <w:outlineLvl w:val="0"/>
      </w:pPr>
      <w:r w:rsidRPr="00677BC6">
        <w:t>Статья 2</w:t>
      </w:r>
    </w:p>
    <w:p w:rsidR="00677BC6" w:rsidRPr="00677BC6" w:rsidRDefault="00677BC6">
      <w:pPr>
        <w:pStyle w:val="ConsPlusNormal"/>
        <w:jc w:val="both"/>
      </w:pPr>
    </w:p>
    <w:p w:rsidR="00677BC6" w:rsidRPr="00677BC6" w:rsidRDefault="00677BC6">
      <w:pPr>
        <w:pStyle w:val="ConsPlusNormal"/>
        <w:ind w:firstLine="540"/>
        <w:jc w:val="both"/>
      </w:pPr>
      <w:r w:rsidRPr="00677BC6">
        <w:t>Настоящий Закон вступает в силу с 1 января 2024 года, но не ранее чем по истечении одного месяца со дня его официального опубликования и не ранее 1-го числа очередного налогового периода по соответствующему налогу.</w:t>
      </w:r>
    </w:p>
    <w:p w:rsidR="00677BC6" w:rsidRPr="00677BC6" w:rsidRDefault="00677BC6">
      <w:pPr>
        <w:pStyle w:val="ConsPlusNormal"/>
        <w:jc w:val="both"/>
      </w:pPr>
    </w:p>
    <w:p w:rsidR="00677BC6" w:rsidRPr="00677BC6" w:rsidRDefault="00677BC6">
      <w:pPr>
        <w:pStyle w:val="ConsPlusNormal"/>
        <w:jc w:val="right"/>
      </w:pPr>
      <w:r w:rsidRPr="00677BC6">
        <w:t>Глава Республики Карелия</w:t>
      </w:r>
    </w:p>
    <w:p w:rsidR="00677BC6" w:rsidRPr="00677BC6" w:rsidRDefault="00677BC6">
      <w:pPr>
        <w:pStyle w:val="ConsPlusNormal"/>
        <w:jc w:val="right"/>
      </w:pPr>
      <w:r w:rsidRPr="00677BC6">
        <w:t>А.О.ПАРФЕНЧИКОВ</w:t>
      </w:r>
    </w:p>
    <w:p w:rsidR="00677BC6" w:rsidRPr="00677BC6" w:rsidRDefault="00677BC6">
      <w:pPr>
        <w:pStyle w:val="ConsPlusNormal"/>
      </w:pPr>
      <w:r w:rsidRPr="00677BC6">
        <w:t>г. Петрозаводск</w:t>
      </w:r>
    </w:p>
    <w:p w:rsidR="00677BC6" w:rsidRPr="00677BC6" w:rsidRDefault="00677BC6">
      <w:pPr>
        <w:pStyle w:val="ConsPlusNormal"/>
        <w:spacing w:before="220"/>
      </w:pPr>
      <w:r w:rsidRPr="00677BC6">
        <w:t>26 октября 2023 года</w:t>
      </w:r>
    </w:p>
    <w:p w:rsidR="00677BC6" w:rsidRPr="00677BC6" w:rsidRDefault="00677BC6">
      <w:pPr>
        <w:pStyle w:val="ConsPlusNormal"/>
        <w:spacing w:before="220"/>
      </w:pPr>
      <w:r w:rsidRPr="00677BC6">
        <w:t>N 2892-ЗРК</w:t>
      </w:r>
    </w:p>
    <w:p w:rsidR="00677BC6" w:rsidRPr="00677BC6" w:rsidRDefault="00677BC6">
      <w:pPr>
        <w:pStyle w:val="ConsPlusNormal"/>
        <w:jc w:val="both"/>
      </w:pPr>
    </w:p>
    <w:p w:rsidR="00677BC6" w:rsidRPr="00677BC6" w:rsidRDefault="00677BC6">
      <w:pPr>
        <w:pStyle w:val="ConsPlusNormal"/>
        <w:jc w:val="both"/>
      </w:pPr>
    </w:p>
    <w:p w:rsidR="00677BC6" w:rsidRPr="00677BC6" w:rsidRDefault="00677BC6">
      <w:pPr>
        <w:pStyle w:val="ConsPlusNormal"/>
        <w:pBdr>
          <w:bottom w:val="single" w:sz="6" w:space="0" w:color="auto"/>
        </w:pBdr>
        <w:spacing w:before="100" w:after="100"/>
        <w:jc w:val="both"/>
        <w:rPr>
          <w:sz w:val="2"/>
          <w:szCs w:val="2"/>
        </w:rPr>
      </w:pPr>
    </w:p>
    <w:p w:rsidR="000E5538" w:rsidRPr="00677BC6" w:rsidRDefault="000E5538"/>
    <w:sectPr w:rsidR="000E5538" w:rsidRPr="00677BC6" w:rsidSect="00C234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BC6"/>
    <w:rsid w:val="000E5538"/>
    <w:rsid w:val="00672EFD"/>
    <w:rsid w:val="00677B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77BC6"/>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677BC6"/>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677BC6"/>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77BC6"/>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677BC6"/>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677BC6"/>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1586</Words>
  <Characters>9042</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Крюкова Ирина Валентиновна</dc:creator>
  <cp:lastModifiedBy>Крюкова Ирина Валентиновна</cp:lastModifiedBy>
  <cp:revision>1</cp:revision>
  <dcterms:created xsi:type="dcterms:W3CDTF">2024-02-28T06:59:00Z</dcterms:created>
  <dcterms:modified xsi:type="dcterms:W3CDTF">2024-02-28T07:02:00Z</dcterms:modified>
</cp:coreProperties>
</file>