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24BBD" w:rsidRPr="00424BBD" w:rsidTr="00424BB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28 октября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42551" w:rsidRPr="00424BBD" w:rsidRDefault="00742551">
            <w:pPr>
              <w:pStyle w:val="ConsPlusNormal"/>
              <w:jc w:val="right"/>
            </w:pPr>
            <w:r w:rsidRPr="00424BBD">
              <w:t>N 2995-ЗРК</w:t>
            </w:r>
          </w:p>
        </w:tc>
      </w:tr>
    </w:tbl>
    <w:p w:rsidR="00742551" w:rsidRPr="00424BBD" w:rsidRDefault="007425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Title"/>
        <w:jc w:val="center"/>
      </w:pPr>
      <w:r w:rsidRPr="00424BBD">
        <w:t>РЕСПУБЛИКА КАРЕЛИЯ</w:t>
      </w:r>
    </w:p>
    <w:p w:rsidR="00742551" w:rsidRPr="00424BBD" w:rsidRDefault="00742551">
      <w:pPr>
        <w:pStyle w:val="ConsPlusTitle"/>
        <w:jc w:val="center"/>
      </w:pPr>
    </w:p>
    <w:p w:rsidR="00742551" w:rsidRPr="00424BBD" w:rsidRDefault="00742551">
      <w:pPr>
        <w:pStyle w:val="ConsPlusTitle"/>
        <w:jc w:val="center"/>
      </w:pPr>
      <w:r w:rsidRPr="00424BBD">
        <w:t>ЗАКОН</w:t>
      </w:r>
    </w:p>
    <w:p w:rsidR="00742551" w:rsidRPr="00424BBD" w:rsidRDefault="00742551">
      <w:pPr>
        <w:pStyle w:val="ConsPlusTitle"/>
        <w:jc w:val="center"/>
      </w:pPr>
    </w:p>
    <w:p w:rsidR="00742551" w:rsidRPr="00424BBD" w:rsidRDefault="00742551">
      <w:pPr>
        <w:pStyle w:val="ConsPlusTitle"/>
        <w:jc w:val="center"/>
      </w:pPr>
      <w:r w:rsidRPr="00424BBD">
        <w:t>О ВНЕСЕНИИ ИЗМЕНЕНИЙ</w:t>
      </w:r>
    </w:p>
    <w:p w:rsidR="00742551" w:rsidRPr="00424BBD" w:rsidRDefault="00742551">
      <w:pPr>
        <w:pStyle w:val="ConsPlusTitle"/>
        <w:jc w:val="center"/>
      </w:pPr>
      <w:proofErr w:type="gramStart"/>
      <w:r w:rsidRPr="00424BBD">
        <w:t>В ЗАКОН РЕСПУБЛИКИ КАРЕЛИЯ "О НАЛОГАХ (СТАВКАХ</w:t>
      </w:r>
      <w:proofErr w:type="gramEnd"/>
    </w:p>
    <w:p w:rsidR="00742551" w:rsidRPr="00424BBD" w:rsidRDefault="00742551">
      <w:pPr>
        <w:pStyle w:val="ConsPlusTitle"/>
        <w:jc w:val="center"/>
      </w:pPr>
      <w:proofErr w:type="gramStart"/>
      <w:r w:rsidRPr="00424BBD">
        <w:t>НАЛОГОВ) НА ТЕРРИТОРИИ РЕСПУБЛИКИ КАРЕЛИЯ"</w:t>
      </w:r>
      <w:proofErr w:type="gramEnd"/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jc w:val="right"/>
      </w:pPr>
      <w:proofErr w:type="gramStart"/>
      <w:r w:rsidRPr="00424BBD">
        <w:t>Принят</w:t>
      </w:r>
      <w:proofErr w:type="gramEnd"/>
    </w:p>
    <w:p w:rsidR="00742551" w:rsidRPr="00424BBD" w:rsidRDefault="00742551">
      <w:pPr>
        <w:pStyle w:val="ConsPlusNormal"/>
        <w:jc w:val="right"/>
      </w:pPr>
      <w:r w:rsidRPr="00424BBD">
        <w:t>Законодательным Собранием</w:t>
      </w:r>
    </w:p>
    <w:p w:rsidR="00742551" w:rsidRPr="00424BBD" w:rsidRDefault="00742551">
      <w:pPr>
        <w:pStyle w:val="ConsPlusNormal"/>
        <w:jc w:val="right"/>
      </w:pPr>
      <w:r w:rsidRPr="00424BBD">
        <w:t>Республики Карелия</w:t>
      </w:r>
    </w:p>
    <w:p w:rsidR="00742551" w:rsidRPr="00424BBD" w:rsidRDefault="00742551">
      <w:pPr>
        <w:pStyle w:val="ConsPlusNormal"/>
        <w:jc w:val="right"/>
      </w:pPr>
      <w:r w:rsidRPr="00424BBD">
        <w:t>17 октября 2024 года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Title"/>
        <w:ind w:firstLine="540"/>
        <w:jc w:val="both"/>
        <w:outlineLvl w:val="0"/>
      </w:pPr>
      <w:r w:rsidRPr="00424BBD">
        <w:t>Статья 1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proofErr w:type="gramStart"/>
      <w:r w:rsidRPr="00424BBD">
        <w:t>Внести в Закон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2014, N 11, ст. 1953; 2017, N 11, ст. 2090; 2018, N 4, ст. 688; N 10, ст. 2007; 2019, N 10, ст. 2149;</w:t>
      </w:r>
      <w:proofErr w:type="gramEnd"/>
      <w:r w:rsidRPr="00424BBD">
        <w:t xml:space="preserve"> </w:t>
      </w:r>
      <w:proofErr w:type="gramStart"/>
      <w:r w:rsidRPr="00424BBD">
        <w:t xml:space="preserve">2020, N 3, ст. 420; N 10, ст. 2354; N </w:t>
      </w:r>
      <w:bookmarkStart w:id="0" w:name="_GoBack"/>
      <w:bookmarkEnd w:id="0"/>
      <w:r w:rsidRPr="00424BBD">
        <w:t>12, ст. 2974; 2021, N 7, ст. 1593; N 11, ст. 2792; 2022, N 3, ст. 532; N 11, ст. 3096; N 12, ст. 3513; 2023, N 10, ст. 2646; N 12, ст. 3326) следующие изменения: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1) в статье 1: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а) в абзаце втором пункта 1 слово "социально-экономического" исключить;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б) в абзаце втором пункта 2 слово "социально-экономического" исключить;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в) в абзаце втором пункта 3 слово "социально-экономического" исключить;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г) абзацы второй-четвертый и шестой пункта 4 признать утратившими силу;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2) в статье 1.2: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а) пункт 1 части 1 дополнить подпунктами "в" и "г" следующего содержания: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"в) реализующим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рамках реализации инвестиционного проекта составляет не менее 75 процентов общей суммы выручки от реализации товаров (работ, услуг);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proofErr w:type="gramStart"/>
      <w:r w:rsidRPr="00424BBD">
        <w:t>г) реализующим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(работ, услуг);";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б) части 2 и 3 изложить в следующей редакции: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"2. Размер инвестиционного налогового вычета текущего отчетного (налогового) периода не может превышать предельную величину инвестиционного налогового вычета и составляет: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proofErr w:type="gramStart"/>
      <w:r w:rsidRPr="00424BBD">
        <w:lastRenderedPageBreak/>
        <w:t>1) 50 процентов суммы расходов текущего периода, указанных в абзаце втором пункта 1 и в пункте 2 статьи 257 Налогового кодекса Российской Федерации, за исключением расходов на ликвидацию основных средств, при применении инвестиционного налогового вычета в соответствии с подпунктами "а", "б", а также "в" и "г" (в отношении инвестиционных соглашений, заключенных до 31 декабря 2024 года) пункта 1 части 1</w:t>
      </w:r>
      <w:proofErr w:type="gramEnd"/>
      <w:r w:rsidRPr="00424BBD">
        <w:t xml:space="preserve"> настоящей статьи;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2) 50 процентов суммы расходов в виде стоимости движимого и недвижимого имущества (включая денежные средства), безвозмездно переданного образовательным организациям, реализующим образовательные программы среднего профессионального образования на территории Республики Карелия, имеющие государственную аккредитацию, но не более 100 миллионов рублей за год;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proofErr w:type="gramStart"/>
      <w:r w:rsidRPr="00424BBD">
        <w:t>3) 70 процентов суммы расходов текущего периода, указанных в абзаце втором пункта 1 и в пункте 2 статьи 257 Налогового кодекса Российской Федерации, за исключением расходов на ликвидацию основных средств, при применении инвестиционного налогового вычета в соответствии с подпунктами "в" и "г" пункта 1 части 1 настоящей статьи (в отношении инвестиционных соглашений, заключенных после 1 января 2025 года).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3. Размер ставки для определения предельной величины инвестиционного налогового вычета текущего отчетного (налогового) периода составляет: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1) 5 процентов - при применении инвестиционного налогового вычета в соответствии с подпунктами "в" и "г" пункта 1 части 1 настоящей статьи (в отношении инвестиционных соглашений, заключенных после 1 января 2025 года);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2) 8,5 процента - при применении инвестиционного налогового вычета в соответствии с подпунктами "а" и "б" пункта 1 и пунктом 2 части 1 настоящей статьи;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3) 13,5 процента - при применении инвестиционного налогового вычета в соответствии с подпунктами "в" и "г" пункта 1 части 1 настоящей статьи (в отношении инвестиционных соглашений, заключенных до 31 декабря 2024 года)</w:t>
      </w:r>
      <w:proofErr w:type="gramStart"/>
      <w:r w:rsidRPr="00424BBD">
        <w:t>."</w:t>
      </w:r>
      <w:proofErr w:type="gramEnd"/>
      <w:r w:rsidRPr="00424BBD">
        <w:t>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3) в статье 3: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а) часть 2 изложить в следующей редакции: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 xml:space="preserve">"2. Налоговая ставка по налогу на имущество организаций в отношении недвижимого имущества, указанного в статье 3.1 настоящего Закона, налоговая </w:t>
      </w:r>
      <w:proofErr w:type="gramStart"/>
      <w:r w:rsidRPr="00424BBD">
        <w:t>база</w:t>
      </w:r>
      <w:proofErr w:type="gramEnd"/>
      <w:r w:rsidRPr="00424BBD">
        <w:t xml:space="preserve"> в отношении которого определяется как кадастровая стоимость, за исключением объектов, указанных в части 2.1 настоящей статьи, устанавливается в размере: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1) 2 процентов - в отношении объектов недвижимого имущества, кадастровая стоимость каждого из которых не превышает 300 млн. рублей;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2) 2,5 процента - в отношении объектов недвижимого имущества, кадастровая стоимость каждого из которых превышает 300 млн. рублей</w:t>
      </w:r>
      <w:proofErr w:type="gramStart"/>
      <w:r w:rsidRPr="00424BBD">
        <w:t>.";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б) в пункте 5 части 3 слово "социально-экономического" исключить;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в) дополнить частью 3.1 следующего содержания: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 xml:space="preserve">"3.1. </w:t>
      </w:r>
      <w:proofErr w:type="gramStart"/>
      <w:r w:rsidRPr="00424BBD">
        <w:t xml:space="preserve">Налоговая база, определяемая как среднегодовая стоимость имущества, уменьшается на сумму законченных капитальных вложений на строительство, реконструкцию и (или) модернизацию вводимых, реконструируемых и (или) модернизируемых судоходных гидротехнических сооружений, расположенных на внутренних водных путях Российской Федерации, портовых гидротехнических сооружений, сооружений инфраструктуры воздушного </w:t>
      </w:r>
      <w:r w:rsidRPr="00424BBD">
        <w:lastRenderedPageBreak/>
        <w:t>транспорта (за исключением системы централизованной заправки самолетов, космодрома), учтенных в балансовой стоимости данных объектов.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Установленное настоящей частью положение не применяется в отношении законченных капитальных вложений, учтенных в балансовой стоимости указанных объектов до 1 января 2010 года</w:t>
      </w:r>
      <w:proofErr w:type="gramStart"/>
      <w:r w:rsidRPr="00424BBD">
        <w:t>.";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г) в части 5: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а) пункт 1.1 изложить в следующей редакции: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proofErr w:type="gramStart"/>
      <w:r w:rsidRPr="00424BBD">
        <w:t>"1.1) 9,1 процента исчисленной суммы налога - организациями, занимающимися производством готовых металлических изделий, кроме машин и оборудования, при условии увеличения по результатам отчетного (налогового) периода сумм налогов, фактически уплаченных в консолидированный бюджет Республики Карелия в пределах исчисленных сумм налоговых обязательств (за исключением налога на прибыль организаций для организаций, являвшихся до 2023 года участниками консолидированной группы налогоплательщиков по налогу на прибыль организаций</w:t>
      </w:r>
      <w:proofErr w:type="gramEnd"/>
      <w:r w:rsidRPr="00424BBD">
        <w:t xml:space="preserve">) по результатам отчетного (налогового) периода, по сравнению с аналогичным отчетным (налоговым) периодом предыдущего года и реализации инвестиционных проектов в соответствии с законодательством Республики Карелия. </w:t>
      </w:r>
      <w:proofErr w:type="gramStart"/>
      <w:r w:rsidRPr="00424BBD">
        <w:t>Изменение сумм налогов, фактически уплаченных в консолидированный бюджет Республики Карелия в пределах исчисленных сумм налоговых обязательств по результатам отчетного (налогового) периода, по сравнению с аналогичным отчетным (налоговым)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года;";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б) дополнить пунктом 1.2 следующего содержания: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proofErr w:type="gramStart"/>
      <w:r w:rsidRPr="00424BBD">
        <w:t>"1.2) 22,7 процента исчисленной суммы налога - федеральными государственными образовательными организациями, осуществляющими образовательную деятельность на территории Республики Карелия по образовательным программам высшего образования, имеющими государственную аккредитацию образовательных программ высшего образования, в отношении спортивных сооружений, введенных в эксплуатацию с 1 января 2023 года, в течение трех налоговых периодов, начиная с первого числа месяца, следующего за месяцем постановки такого имущества на баланс в</w:t>
      </w:r>
      <w:proofErr w:type="gramEnd"/>
      <w:r w:rsidRPr="00424BBD">
        <w:t xml:space="preserve"> </w:t>
      </w:r>
      <w:proofErr w:type="gramStart"/>
      <w:r w:rsidRPr="00424BBD">
        <w:t>качестве</w:t>
      </w:r>
      <w:proofErr w:type="gramEnd"/>
      <w:r w:rsidRPr="00424BBD">
        <w:t xml:space="preserve"> объекта основного средства;";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4) в статье 3.1: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а) в пункте 1 слова "250 кв. метров" заменить словами "200 кв. метров";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б) в пункте 2 слова "250 кв. метров" заменить словами "200 кв. метров";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5) в статье 9.5: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proofErr w:type="gramStart"/>
      <w:r w:rsidRPr="00424BBD">
        <w:t>а) в части 1 цифры "2024" заменить цифрами "2025", слова "4 процентов" заменить словами "5 процентов", слова "9 процентов" заменить словами "10 процентов";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б) в части 2: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в абзаце первом цифры "2024" заменить цифрами "2025";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в пункте 2 цифры "2024" заменить цифрами "2025";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6) статью 11.3 изложить в следующей редакции: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"Статья 11.3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proofErr w:type="gramStart"/>
      <w:r w:rsidRPr="00424BBD">
        <w:t>Потенциально возможный к получению индивидуальным предпринимателем годовой доход в зависимости от территории действия патентов определяется путем умножения размера потенциально возможного к получению индивидуальным предпринимателем годового дохода по виду предпринимательской деятельности, в отношении которого применяется патентная система налогообложения, установленного статьей 11.1 настоящего Закона, на соответствующие коэффициенты согласно приложению 1.1 к настоящему Закону.";</w:t>
      </w:r>
      <w:proofErr w:type="gramEnd"/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7) дополнить разделом 8.3 следующего содержания: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jc w:val="center"/>
      </w:pPr>
      <w:r w:rsidRPr="00424BBD">
        <w:t>"Раздел 8.3. ОБ УВЕЛИЧЕНИИ РАЗМЕРА ПОНИЖАЮЩЕГО</w:t>
      </w:r>
    </w:p>
    <w:p w:rsidR="00742551" w:rsidRPr="00424BBD" w:rsidRDefault="00742551">
      <w:pPr>
        <w:pStyle w:val="ConsPlusNormal"/>
        <w:jc w:val="center"/>
      </w:pPr>
      <w:r w:rsidRPr="00424BBD">
        <w:t>КОЭФФИЦИЕНТА, ПРИМЕНЯЕМОГО В ЦЕЛЯХ НАЛОГООБЛОЖЕНИЯ ДОХОДОВ</w:t>
      </w:r>
    </w:p>
    <w:p w:rsidR="00742551" w:rsidRPr="00424BBD" w:rsidRDefault="00742551">
      <w:pPr>
        <w:pStyle w:val="ConsPlusNormal"/>
        <w:jc w:val="center"/>
      </w:pPr>
      <w:r w:rsidRPr="00424BBD">
        <w:t xml:space="preserve">НАЛОГОПЛАТЕЛЬЩИКА, </w:t>
      </w:r>
      <w:proofErr w:type="gramStart"/>
      <w:r w:rsidRPr="00424BBD">
        <w:t>ПОЛУЧЕННЫХ</w:t>
      </w:r>
      <w:proofErr w:type="gramEnd"/>
      <w:r w:rsidRPr="00424BBD">
        <w:t xml:space="preserve"> ОТ ПРОДАЖИ НЕДВИЖИМОГО</w:t>
      </w:r>
    </w:p>
    <w:p w:rsidR="00742551" w:rsidRPr="00424BBD" w:rsidRDefault="00742551">
      <w:pPr>
        <w:pStyle w:val="ConsPlusNormal"/>
        <w:jc w:val="center"/>
      </w:pPr>
      <w:r w:rsidRPr="00424BBD">
        <w:t>ИМУЩЕСТВА, УСТАНОВЛЕННОГО ПУНКТОМ 2 СТАТЬИ 214.10</w:t>
      </w:r>
    </w:p>
    <w:p w:rsidR="00742551" w:rsidRPr="00424BBD" w:rsidRDefault="00742551">
      <w:pPr>
        <w:pStyle w:val="ConsPlusNormal"/>
        <w:jc w:val="center"/>
      </w:pPr>
      <w:r w:rsidRPr="00424BBD">
        <w:t>НАЛОГОВОГО КОДЕКСА РОССИЙСКОЙ ФЕДЕРАЦИИ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r w:rsidRPr="00424BBD">
        <w:t>Статья 21.4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r w:rsidRPr="00424BBD">
        <w:t>В соответствии с пунктом 9 статьи 214.10 Налогового кодекса Российской Федерации увеличить размер понижающего коэффициента, применяемого в целях налогообложения доходов налогоплательщика, полученных от продажи недвижимого имущества, до 1.";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t>8) приложение 1 изложить в следующей редакции:</w:t>
      </w:r>
    </w:p>
    <w:p w:rsidR="00742551" w:rsidRPr="00424BBD" w:rsidRDefault="00742551">
      <w:pPr>
        <w:pStyle w:val="ConsPlusNormal"/>
        <w:spacing w:before="220"/>
        <w:jc w:val="right"/>
      </w:pPr>
      <w:r w:rsidRPr="00424BBD">
        <w:t>"Приложение 1</w:t>
      </w:r>
    </w:p>
    <w:p w:rsidR="00742551" w:rsidRPr="00424BBD" w:rsidRDefault="00742551">
      <w:pPr>
        <w:pStyle w:val="ConsPlusNormal"/>
        <w:jc w:val="right"/>
      </w:pPr>
      <w:r w:rsidRPr="00424BBD">
        <w:t>к Закону Республики Карелия</w:t>
      </w:r>
    </w:p>
    <w:p w:rsidR="00742551" w:rsidRPr="00424BBD" w:rsidRDefault="00742551">
      <w:pPr>
        <w:pStyle w:val="ConsPlusNormal"/>
        <w:jc w:val="right"/>
      </w:pPr>
      <w:r w:rsidRPr="00424BBD">
        <w:t>"О налогах (ставках налогов)</w:t>
      </w:r>
    </w:p>
    <w:p w:rsidR="00742551" w:rsidRPr="00424BBD" w:rsidRDefault="00742551">
      <w:pPr>
        <w:pStyle w:val="ConsPlusNormal"/>
        <w:jc w:val="right"/>
      </w:pPr>
      <w:r w:rsidRPr="00424BBD">
        <w:t>на территории Республики Карелия"</w:t>
      </w:r>
    </w:p>
    <w:p w:rsidR="00742551" w:rsidRPr="00424BBD" w:rsidRDefault="00742551">
      <w:pPr>
        <w:pStyle w:val="ConsPlusNormal"/>
        <w:jc w:val="right"/>
      </w:pPr>
      <w:proofErr w:type="gramStart"/>
      <w:r w:rsidRPr="00424BBD">
        <w:t>(в редакции Закона Республики Карелия</w:t>
      </w:r>
      <w:proofErr w:type="gramEnd"/>
    </w:p>
    <w:p w:rsidR="00742551" w:rsidRPr="00424BBD" w:rsidRDefault="00742551">
      <w:pPr>
        <w:pStyle w:val="ConsPlusNormal"/>
        <w:jc w:val="right"/>
      </w:pPr>
      <w:r w:rsidRPr="00424BBD">
        <w:t>от 28 октября 2024 года N 2995-ЗРК</w:t>
      </w:r>
    </w:p>
    <w:p w:rsidR="00742551" w:rsidRPr="00424BBD" w:rsidRDefault="00742551">
      <w:pPr>
        <w:pStyle w:val="ConsPlusNormal"/>
        <w:jc w:val="right"/>
      </w:pPr>
      <w:r w:rsidRPr="00424BBD">
        <w:t>"О внесении изменений в Закон</w:t>
      </w:r>
    </w:p>
    <w:p w:rsidR="00742551" w:rsidRPr="00424BBD" w:rsidRDefault="00742551">
      <w:pPr>
        <w:pStyle w:val="ConsPlusNormal"/>
        <w:jc w:val="right"/>
      </w:pPr>
      <w:r w:rsidRPr="00424BBD">
        <w:t>Республики Карелия "О налогах</w:t>
      </w:r>
    </w:p>
    <w:p w:rsidR="00742551" w:rsidRPr="00424BBD" w:rsidRDefault="00742551">
      <w:pPr>
        <w:pStyle w:val="ConsPlusNormal"/>
        <w:jc w:val="right"/>
      </w:pPr>
      <w:r w:rsidRPr="00424BBD">
        <w:t>(</w:t>
      </w:r>
      <w:proofErr w:type="gramStart"/>
      <w:r w:rsidRPr="00424BBD">
        <w:t>ставках</w:t>
      </w:r>
      <w:proofErr w:type="gramEnd"/>
      <w:r w:rsidRPr="00424BBD">
        <w:t xml:space="preserve"> налогов) на территории</w:t>
      </w:r>
    </w:p>
    <w:p w:rsidR="00742551" w:rsidRPr="00424BBD" w:rsidRDefault="00742551">
      <w:pPr>
        <w:pStyle w:val="ConsPlusNormal"/>
        <w:jc w:val="right"/>
      </w:pPr>
      <w:proofErr w:type="gramStart"/>
      <w:r w:rsidRPr="00424BBD">
        <w:t>Республики Карелия")</w:t>
      </w:r>
      <w:proofErr w:type="gramEnd"/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jc w:val="center"/>
      </w:pPr>
      <w:r w:rsidRPr="00424BBD">
        <w:t>РАЗМЕР</w:t>
      </w:r>
    </w:p>
    <w:p w:rsidR="00742551" w:rsidRPr="00424BBD" w:rsidRDefault="00742551">
      <w:pPr>
        <w:pStyle w:val="ConsPlusNormal"/>
        <w:jc w:val="center"/>
      </w:pPr>
      <w:r w:rsidRPr="00424BBD">
        <w:t xml:space="preserve">ПОТЕНЦИАЛЬНО </w:t>
      </w:r>
      <w:proofErr w:type="gramStart"/>
      <w:r w:rsidRPr="00424BBD">
        <w:t>ВОЗМОЖНОГО</w:t>
      </w:r>
      <w:proofErr w:type="gramEnd"/>
      <w:r w:rsidRPr="00424BBD">
        <w:t xml:space="preserve"> К ПОЛУЧЕНИЮ</w:t>
      </w:r>
    </w:p>
    <w:p w:rsidR="00742551" w:rsidRPr="00424BBD" w:rsidRDefault="00742551">
      <w:pPr>
        <w:pStyle w:val="ConsPlusNormal"/>
        <w:jc w:val="center"/>
      </w:pPr>
      <w:r w:rsidRPr="00424BBD">
        <w:t>ИНДИВИДУАЛЬНЫМ ПРЕДПРИНИМАТЕЛЕМ ГОДОВОГО ДОХОДА ПО ВИДАМ</w:t>
      </w:r>
    </w:p>
    <w:p w:rsidR="00742551" w:rsidRPr="00424BBD" w:rsidRDefault="00742551">
      <w:pPr>
        <w:pStyle w:val="ConsPlusNormal"/>
        <w:jc w:val="center"/>
      </w:pPr>
      <w:r w:rsidRPr="00424BBD">
        <w:t>ПРЕДПРИНИМАТЕЛЬСКОЙ ДЕЯТЕЛЬНОСТИ, В ОТНОШЕНИИ КОТОРЫХ</w:t>
      </w:r>
    </w:p>
    <w:p w:rsidR="00742551" w:rsidRPr="00424BBD" w:rsidRDefault="00742551">
      <w:pPr>
        <w:pStyle w:val="ConsPlusNormal"/>
        <w:jc w:val="center"/>
      </w:pPr>
      <w:r w:rsidRPr="00424BBD">
        <w:t>ПРИМЕНЯЕТСЯ ПАТЕНТНАЯ СИСТЕМА НАЛОГООБЛОЖЕНИЯ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sectPr w:rsidR="00742551" w:rsidRPr="00424BBD" w:rsidSect="005810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1417"/>
        <w:gridCol w:w="1587"/>
        <w:gridCol w:w="1417"/>
        <w:gridCol w:w="1417"/>
        <w:gridCol w:w="1417"/>
        <w:gridCol w:w="1417"/>
      </w:tblGrid>
      <w:tr w:rsidR="00424BBD" w:rsidRPr="00424BBD">
        <w:tc>
          <w:tcPr>
            <w:tcW w:w="737" w:type="dxa"/>
            <w:vMerge w:val="restart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N пункта</w:t>
            </w:r>
          </w:p>
        </w:tc>
        <w:tc>
          <w:tcPr>
            <w:tcW w:w="4195" w:type="dxa"/>
            <w:vMerge w:val="restart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Вид предпринимательской деятельности</w:t>
            </w:r>
          </w:p>
        </w:tc>
        <w:tc>
          <w:tcPr>
            <w:tcW w:w="8672" w:type="dxa"/>
            <w:gridSpan w:val="6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24BBD" w:rsidRPr="00424BBD">
        <w:tc>
          <w:tcPr>
            <w:tcW w:w="737" w:type="dxa"/>
            <w:vMerge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  <w:vMerge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3004" w:type="dxa"/>
            <w:gridSpan w:val="2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2025 год</w:t>
            </w:r>
          </w:p>
        </w:tc>
        <w:tc>
          <w:tcPr>
            <w:tcW w:w="2834" w:type="dxa"/>
            <w:gridSpan w:val="2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2026 год</w:t>
            </w:r>
          </w:p>
        </w:tc>
        <w:tc>
          <w:tcPr>
            <w:tcW w:w="2834" w:type="dxa"/>
            <w:gridSpan w:val="2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2027 год и далее</w:t>
            </w:r>
          </w:p>
        </w:tc>
      </w:tr>
      <w:tr w:rsidR="00424BBD" w:rsidRPr="00424BBD">
        <w:tc>
          <w:tcPr>
            <w:tcW w:w="737" w:type="dxa"/>
            <w:vMerge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  <w:vMerge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без привлечения наемных работников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дополнительно на единицу средней численности наемных работников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без привлечения наемных работников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дополнительно на единицу средней численности наемных работников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без привлечения наемных работников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дополнительно на единицу средней численности наемных работников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280 000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Ремонт, чистка, окраска и пошив обуви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280 000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Парикмахерские и косметические услуги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316 000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632 000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948 000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Ремонт электронной бытовой техники, бытовых приборов, часов, </w:t>
            </w:r>
            <w:r w:rsidRPr="00424BBD">
              <w:lastRenderedPageBreak/>
              <w:t>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316 000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632 000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948 000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в области фотографии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Ремонт, техническое обслуживание автотранспортных и </w:t>
            </w:r>
            <w:proofErr w:type="spellStart"/>
            <w:r w:rsidRPr="00424BBD">
              <w:t>мототранспортных</w:t>
            </w:r>
            <w:proofErr w:type="spellEnd"/>
            <w:r w:rsidRPr="00424BBD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643 000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918 000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1 193 000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на единицу автотранспортных средств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1 автотранспортное средство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2 и более автотранспортных средств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 xml:space="preserve">300 000 и 170 000 на </w:t>
            </w:r>
            <w:r w:rsidRPr="00424BBD">
              <w:lastRenderedPageBreak/>
              <w:t>каждое последующее автотранспортное средство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 xml:space="preserve">450 000 и 235 000 на </w:t>
            </w:r>
            <w:r w:rsidRPr="00424BBD">
              <w:lastRenderedPageBreak/>
              <w:t>каждое последующее автотранспортное средство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 xml:space="preserve">600 000 и 300 000 на </w:t>
            </w:r>
            <w:r w:rsidRPr="00424BBD">
              <w:lastRenderedPageBreak/>
              <w:t>каждое последующее автотранспортное средство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-</w:t>
            </w:r>
          </w:p>
        </w:tc>
      </w:tr>
      <w:tr w:rsidR="00424BBD" w:rsidRPr="00424BBD"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11.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на единицу автотранспортных средств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vMerge w:val="restart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1 автотранспортное средство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375 000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vMerge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2 и более автотранспортных средств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250 000 и 150 000 на каждое последующее автотранспортное средство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375 000 и 160 000 на каждое последующее автотранспортное средство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500 000 и 170 000 на каждое последующее автотранспортное средство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Услуги по производству монтажных, </w:t>
            </w:r>
            <w:r w:rsidRPr="00424BBD">
              <w:lastRenderedPageBreak/>
              <w:t>электромонтажных, санитарно-технических и сварочных работ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371 300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742 600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1 114 000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14.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314 000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628 000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942 000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280 000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ветеринарная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Сдача в аренду (наем) собственных или арендованных жилых помещений, общая площадь которых: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до 50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50 кв. м до 100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1 225 000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100 кв. м до 200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1 550 000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200 кв. м до 500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2 550 000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500 кв. м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4 550 000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Сдача в аренду (наем) собственных или </w:t>
            </w:r>
            <w:r w:rsidRPr="00424BBD">
              <w:lastRenderedPageBreak/>
              <w:t>арендованных нежилых помещений (включая выставочные залы, складские помещения), земельных участков, общая площадь которых: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до 10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10 кв. м до 50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1 450 000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1 725 000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50 кв. м до 100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2 550 000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100 кв. м до 500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3 550 000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500 кв. м до 1500 кв. м включительно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5 500 000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свыше 1500 кв. м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10 275 000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10 550 000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10 825 000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280 000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310 500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621 100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931 700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 ювелирных изделий, бижутерии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25.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Чеканка и гравировка ювелирных изделий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325 000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975 000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Проведение занятий по физической культуре и спорту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310 500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621 100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931 700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платных туалетов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320 000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640 000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33.</w:t>
            </w:r>
          </w:p>
        </w:tc>
        <w:tc>
          <w:tcPr>
            <w:tcW w:w="4195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Оказание услуг по перевозке пассажиров водным транспортом</w:t>
            </w: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на единицу судна водного транспорта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200 000</w:t>
            </w:r>
          </w:p>
        </w:tc>
        <w:tc>
          <w:tcPr>
            <w:tcW w:w="158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400 000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600 000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34.</w:t>
            </w:r>
          </w:p>
        </w:tc>
        <w:tc>
          <w:tcPr>
            <w:tcW w:w="4195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Оказание услуг по перевозке грузов водным транспортом</w:t>
            </w: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на единицу судна водного транспорта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200 000</w:t>
            </w:r>
          </w:p>
        </w:tc>
        <w:tc>
          <w:tcPr>
            <w:tcW w:w="158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400 000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600 000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35.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proofErr w:type="gramStart"/>
            <w:r w:rsidRPr="00424BBD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310 500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621 100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931 700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по благоустройству ландшафта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321 000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642 000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963 000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1 325 000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341 600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683 300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прокату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42.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экскурсионные туристические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280 000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310 500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621 100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931 700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Организация похорон и предоставление связанных с ними услуг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1 075 000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Розничная торговля, осуществляемая через объекты стационарной торговой сети, имеющие торговые залы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1 095 130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1 138 940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Розничная торговля, осуществляемая через объекты стационарной торговой сети, не имеющие торговых залов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1 095 130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1 138 940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Розничная торговля, осуществляемая через объекты нестационарной торговой сети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526 000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547 600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569 500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49.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общественного питания, оказываемые через объекты организации общественного питания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526 000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547 600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569 500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Услуги общественного питания, </w:t>
            </w:r>
            <w:r w:rsidRPr="00424BBD">
              <w:lastRenderedPageBreak/>
              <w:t>оказываемые через объекты организации общественного питания, не имеющие зала обслуживания посетителей (в расчете на каждый обособленный объект, но не более 10 000 000 рублей)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200 000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51.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Оказание услуг по забою и транспортировке скота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кожи и изделий из кожи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311 600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Сбор и заготовка пищевых лесных ресурсов, </w:t>
            </w:r>
            <w:proofErr w:type="spellStart"/>
            <w:r w:rsidRPr="00424BBD">
              <w:t>недревесных</w:t>
            </w:r>
            <w:proofErr w:type="spellEnd"/>
            <w:r w:rsidRPr="00424BBD"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Переработка и консервирование фруктов и овощей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молочной продукции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Растениеводство, услуги в области растениеводства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310 500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621 100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931 700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Деятельность по уходу за престарелыми и </w:t>
            </w:r>
            <w:r w:rsidRPr="00424BBD">
              <w:lastRenderedPageBreak/>
              <w:t>инвалидами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280 000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560 000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62.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Резка, обработка и отделка камня для памятников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775 000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1 325 000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24BBD">
              <w:t>web</w:t>
            </w:r>
            <w:proofErr w:type="spellEnd"/>
            <w:r w:rsidRPr="00424BBD">
              <w:t>-страниц, включая их адаптацию и модификацию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1 065 000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1 065 000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Строительство жилых и нежилых зданий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электромонтажных работ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штукатурных работ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vMerge w:val="restart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Работы столярные и плотничные: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vMerge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установка дверей (кроме автоматических и вращающихся), окон, дверных и оконных </w:t>
            </w:r>
            <w:r w:rsidRPr="00424BBD">
              <w:lastRenderedPageBreak/>
              <w:t>рам из дерева или прочих материалов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325 000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975 000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работ по внутренней отделке зданий (включая потолки, раздвижные и съемные перегородки и другое)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Работы по устройству покрытий полов и облицовке стен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малярных и стекольных работ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331 000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662 000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993 000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прочих отделочных и завершающих работ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331 000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662 000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993 000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Производство кровельных работ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кухонной мебели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пошиву штор, драпировок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311 600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80.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Пошив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311 600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физкультурно-оздоровительная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331 000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662 000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993 000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vMerge w:val="restart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c>
          <w:tcPr>
            <w:tcW w:w="737" w:type="dxa"/>
            <w:vMerge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tcBorders>
              <w:top w:val="nil"/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оборудованию квартир (навеска карнизов, картин, вешалок, зеркал и других предметов)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копировально-множительные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Деятельность зрелищно-развлекательная прочая, не включенная в другие группировки (за исключением деятельности парков отдыха и пляжей, танцплощадок, дискотек, школ танцев, организации обрядов (свадеб, юбилеев), в </w:t>
            </w:r>
            <w:r w:rsidRPr="00424BBD">
              <w:lastRenderedPageBreak/>
              <w:t>том числе музыкального сопровождения)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350 000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85.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по чистке и уборке прочая, не включенная в другие группировки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ремонту и обслуживанию музыкальных инструментов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316 000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632 000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948 000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Животноводство, услуги в области животноводства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310 500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621 100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931 700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88.</w:t>
            </w:r>
          </w:p>
        </w:tc>
        <w:tc>
          <w:tcPr>
            <w:tcW w:w="4195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Деятельность стоянок для транспортных средств</w:t>
            </w: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за 1 кв. метр общей площади стоянки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1 500</w:t>
            </w:r>
          </w:p>
        </w:tc>
        <w:tc>
          <w:tcPr>
            <w:tcW w:w="158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1 500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1 500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89.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уходу за домашними животными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изготовлению валяной обуви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94.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Граверные работы по металлу, стеклу, фарфору, дереву, керамике, кроме </w:t>
            </w:r>
            <w:r w:rsidRPr="00424BBD">
              <w:lastRenderedPageBreak/>
              <w:t>ювелирных изделий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95.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 игрушек и подобных им изделий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Ремонт спортивного и туристического оборудования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98.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99.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100.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Сборка и ремонт очков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101.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102.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103.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 xml:space="preserve">Услуги по ремонту сифонов и </w:t>
            </w:r>
            <w:proofErr w:type="spellStart"/>
            <w:r w:rsidRPr="00424BBD">
              <w:t>автосифонов</w:t>
            </w:r>
            <w:proofErr w:type="spellEnd"/>
            <w:r w:rsidRPr="00424BBD">
              <w:t>, в том числе зарядка газовых баллончиков для сифонов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312 000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624 000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936 000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104.</w:t>
            </w:r>
          </w:p>
        </w:tc>
        <w:tc>
          <w:tcPr>
            <w:tcW w:w="4195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Услуги по предоставлению мест для временного проживания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742551" w:rsidRPr="00424BBD" w:rsidRDefault="00742551">
            <w:pPr>
              <w:pStyle w:val="ConsPlusNormal"/>
            </w:pPr>
          </w:p>
        </w:tc>
      </w:tr>
      <w:tr w:rsidR="00424BBD" w:rsidRPr="00424BBD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</w:p>
        </w:tc>
        <w:tc>
          <w:tcPr>
            <w:tcW w:w="4195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</w:pPr>
            <w:r w:rsidRPr="00424BBD">
              <w:t>за 1 кв. метр общей площади помещения для временного проживания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30 000</w:t>
            </w:r>
          </w:p>
        </w:tc>
        <w:tc>
          <w:tcPr>
            <w:tcW w:w="158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30 000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30 000</w:t>
            </w:r>
          </w:p>
        </w:tc>
        <w:tc>
          <w:tcPr>
            <w:tcW w:w="1417" w:type="dxa"/>
            <w:tcBorders>
              <w:top w:val="nil"/>
            </w:tcBorders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-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lastRenderedPageBreak/>
              <w:t>105.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proofErr w:type="gramStart"/>
            <w:r w:rsidRPr="00424BBD">
              <w:t>Деятельность</w:t>
            </w:r>
            <w:proofErr w:type="gramEnd"/>
            <w:r w:rsidRPr="00424BBD">
              <w:t xml:space="preserve"> специализированная в области дизайна в части промышленного дизайна, с созданием и разработкой проектов и спецификаций, которые оптимизируют использование, стоимость и внешний вид продукции, включая выбор материалов, механизмов, формы, цвета и отделки поверхности продукции с учетом имеющегося спроса, требований безопасности и потребностей рынка в распространении, использовании и обслуживании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351 100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702 300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1 053 500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106.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Дезинфекция, дезинсекция, дератизация зданий, промышленного оборудования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358 300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716 600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1 075 000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  <w:tr w:rsidR="00424BBD" w:rsidRPr="00424BBD">
        <w:tc>
          <w:tcPr>
            <w:tcW w:w="73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107.</w:t>
            </w:r>
          </w:p>
        </w:tc>
        <w:tc>
          <w:tcPr>
            <w:tcW w:w="4195" w:type="dxa"/>
          </w:tcPr>
          <w:p w:rsidR="00742551" w:rsidRPr="00424BBD" w:rsidRDefault="00742551">
            <w:pPr>
              <w:pStyle w:val="ConsPlusNormal"/>
            </w:pPr>
            <w:r w:rsidRPr="00424BBD">
              <w:t>Деятельность туристических агентств и прочих организаций, предоставляющих услуги в сфере туризма (за исключением услуг экскурсионных туристических)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366 600</w:t>
            </w:r>
          </w:p>
        </w:tc>
        <w:tc>
          <w:tcPr>
            <w:tcW w:w="158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733 300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15 000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1 100 000</w:t>
            </w:r>
          </w:p>
        </w:tc>
        <w:tc>
          <w:tcPr>
            <w:tcW w:w="1417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20 000</w:t>
            </w:r>
          </w:p>
        </w:tc>
      </w:tr>
    </w:tbl>
    <w:p w:rsidR="00742551" w:rsidRPr="00424BBD" w:rsidRDefault="00742551">
      <w:pPr>
        <w:pStyle w:val="ConsPlusNormal"/>
        <w:jc w:val="right"/>
      </w:pPr>
      <w:r w:rsidRPr="00424BBD">
        <w:t>";</w:t>
      </w:r>
    </w:p>
    <w:p w:rsidR="00742551" w:rsidRPr="00424BBD" w:rsidRDefault="00742551">
      <w:pPr>
        <w:pStyle w:val="ConsPlusNormal"/>
        <w:sectPr w:rsidR="00742551" w:rsidRPr="00424BB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r w:rsidRPr="00424BBD">
        <w:t>9) приложение 1.1 изложить в следующей редакции:</w:t>
      </w:r>
    </w:p>
    <w:p w:rsidR="00742551" w:rsidRPr="00424BBD" w:rsidRDefault="00742551">
      <w:pPr>
        <w:pStyle w:val="ConsPlusNormal"/>
        <w:spacing w:before="220"/>
        <w:jc w:val="right"/>
      </w:pPr>
      <w:r w:rsidRPr="00424BBD">
        <w:t>"Приложение 1.1</w:t>
      </w:r>
    </w:p>
    <w:p w:rsidR="00742551" w:rsidRPr="00424BBD" w:rsidRDefault="00742551">
      <w:pPr>
        <w:pStyle w:val="ConsPlusNormal"/>
        <w:jc w:val="right"/>
      </w:pPr>
      <w:r w:rsidRPr="00424BBD">
        <w:t>к Закону Республики Карелия</w:t>
      </w:r>
    </w:p>
    <w:p w:rsidR="00742551" w:rsidRPr="00424BBD" w:rsidRDefault="00742551">
      <w:pPr>
        <w:pStyle w:val="ConsPlusNormal"/>
        <w:jc w:val="right"/>
      </w:pPr>
      <w:r w:rsidRPr="00424BBD">
        <w:t>"О налогах (ставках налогов)</w:t>
      </w:r>
    </w:p>
    <w:p w:rsidR="00742551" w:rsidRPr="00424BBD" w:rsidRDefault="00742551">
      <w:pPr>
        <w:pStyle w:val="ConsPlusNormal"/>
        <w:jc w:val="right"/>
      </w:pPr>
      <w:r w:rsidRPr="00424BBD">
        <w:t>на территории Республики Карелия"</w:t>
      </w:r>
    </w:p>
    <w:p w:rsidR="00742551" w:rsidRPr="00424BBD" w:rsidRDefault="00742551">
      <w:pPr>
        <w:pStyle w:val="ConsPlusNormal"/>
        <w:jc w:val="right"/>
      </w:pPr>
      <w:proofErr w:type="gramStart"/>
      <w:r w:rsidRPr="00424BBD">
        <w:t>(в редакции Закона Республики Карелия</w:t>
      </w:r>
      <w:proofErr w:type="gramEnd"/>
    </w:p>
    <w:p w:rsidR="00742551" w:rsidRPr="00424BBD" w:rsidRDefault="00742551">
      <w:pPr>
        <w:pStyle w:val="ConsPlusNormal"/>
        <w:jc w:val="right"/>
      </w:pPr>
      <w:r w:rsidRPr="00424BBD">
        <w:t>от 28 октября 2024 года N 2995-ЗРК</w:t>
      </w:r>
    </w:p>
    <w:p w:rsidR="00742551" w:rsidRPr="00424BBD" w:rsidRDefault="00742551">
      <w:pPr>
        <w:pStyle w:val="ConsPlusNormal"/>
        <w:jc w:val="right"/>
      </w:pPr>
      <w:r w:rsidRPr="00424BBD">
        <w:t>"О внесении изменений в Закон</w:t>
      </w:r>
    </w:p>
    <w:p w:rsidR="00742551" w:rsidRPr="00424BBD" w:rsidRDefault="00742551">
      <w:pPr>
        <w:pStyle w:val="ConsPlusNormal"/>
        <w:jc w:val="right"/>
      </w:pPr>
      <w:r w:rsidRPr="00424BBD">
        <w:t>Республики Карелия "О налогах</w:t>
      </w:r>
    </w:p>
    <w:p w:rsidR="00742551" w:rsidRPr="00424BBD" w:rsidRDefault="00742551">
      <w:pPr>
        <w:pStyle w:val="ConsPlusNormal"/>
        <w:jc w:val="right"/>
      </w:pPr>
      <w:r w:rsidRPr="00424BBD">
        <w:t>(</w:t>
      </w:r>
      <w:proofErr w:type="gramStart"/>
      <w:r w:rsidRPr="00424BBD">
        <w:t>ставках</w:t>
      </w:r>
      <w:proofErr w:type="gramEnd"/>
      <w:r w:rsidRPr="00424BBD">
        <w:t xml:space="preserve"> налогов) на территории</w:t>
      </w:r>
    </w:p>
    <w:p w:rsidR="00742551" w:rsidRPr="00424BBD" w:rsidRDefault="00742551">
      <w:pPr>
        <w:pStyle w:val="ConsPlusNormal"/>
        <w:jc w:val="right"/>
      </w:pPr>
      <w:proofErr w:type="gramStart"/>
      <w:r w:rsidRPr="00424BBD">
        <w:t>Республики Карелия")</w:t>
      </w:r>
      <w:proofErr w:type="gramEnd"/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jc w:val="center"/>
      </w:pPr>
      <w:r w:rsidRPr="00424BBD">
        <w:t>КОЭФФИЦИЕНТЫ</w:t>
      </w:r>
    </w:p>
    <w:p w:rsidR="00742551" w:rsidRPr="00424BBD" w:rsidRDefault="00742551">
      <w:pPr>
        <w:pStyle w:val="ConsPlusNormal"/>
        <w:jc w:val="center"/>
      </w:pPr>
      <w:r w:rsidRPr="00424BBD">
        <w:t>ДЛЯ ОПРЕДЕЛЕНИЯ ПОТЕНЦИАЛЬНО ВОЗМОЖНОГО К ПОЛУЧЕНИЮ</w:t>
      </w:r>
    </w:p>
    <w:p w:rsidR="00742551" w:rsidRPr="00424BBD" w:rsidRDefault="00742551">
      <w:pPr>
        <w:pStyle w:val="ConsPlusNormal"/>
        <w:jc w:val="center"/>
      </w:pPr>
      <w:r w:rsidRPr="00424BBD">
        <w:t>ИНДИВИДУАЛЬНЫМ ПРЕДПРИНИМАТЕЛЕМ ГОДОВОГО ДОХОДА ПО ВИДАМ</w:t>
      </w:r>
    </w:p>
    <w:p w:rsidR="00742551" w:rsidRPr="00424BBD" w:rsidRDefault="00742551">
      <w:pPr>
        <w:pStyle w:val="ConsPlusNormal"/>
        <w:jc w:val="center"/>
      </w:pPr>
      <w:r w:rsidRPr="00424BBD">
        <w:t>ПРЕДПРИНИМАТЕЛЬСКОЙ ДЕЯТЕЛЬНОСТИ, В ОТНОШЕНИИ КОТОРЫХ</w:t>
      </w:r>
    </w:p>
    <w:p w:rsidR="00742551" w:rsidRPr="00424BBD" w:rsidRDefault="00742551">
      <w:pPr>
        <w:pStyle w:val="ConsPlusNormal"/>
        <w:jc w:val="center"/>
      </w:pPr>
      <w:r w:rsidRPr="00424BBD">
        <w:t>ПРИМЕНЯЕТСЯ ПАТЕНТНАЯ СИСТЕМА НАЛОГООБЛОЖЕНИЯ, В ЗАВИСИМОСТИ</w:t>
      </w:r>
    </w:p>
    <w:p w:rsidR="00742551" w:rsidRPr="00424BBD" w:rsidRDefault="00742551">
      <w:pPr>
        <w:pStyle w:val="ConsPlusNormal"/>
        <w:jc w:val="center"/>
      </w:pPr>
      <w:r w:rsidRPr="00424BBD">
        <w:t>ОТ ТЕРРИТОРИИ ДЕЙСТВИЯ ПАТЕНТОВ</w:t>
      </w:r>
    </w:p>
    <w:p w:rsidR="00742551" w:rsidRPr="00424BBD" w:rsidRDefault="007425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1843"/>
      </w:tblGrid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Территория действия патентов (группа муниципальных образований)</w:t>
            </w:r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Коэффициент</w:t>
            </w:r>
          </w:p>
        </w:tc>
      </w:tr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</w:pPr>
            <w:r w:rsidRPr="00424BBD">
              <w:t>Петрозаводский городской округ</w:t>
            </w:r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1,0</w:t>
            </w:r>
          </w:p>
        </w:tc>
      </w:tr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</w:pPr>
            <w:proofErr w:type="spellStart"/>
            <w:r w:rsidRPr="00424BBD">
              <w:t>Костомукшский</w:t>
            </w:r>
            <w:proofErr w:type="spellEnd"/>
            <w:r w:rsidRPr="00424BBD">
              <w:t xml:space="preserve"> городской округ, </w:t>
            </w:r>
            <w:proofErr w:type="spellStart"/>
            <w:r w:rsidRPr="00424BBD">
              <w:t>Питкярантский</w:t>
            </w:r>
            <w:proofErr w:type="spellEnd"/>
            <w:r w:rsidRPr="00424BBD">
              <w:t xml:space="preserve">, Сортавальский муниципальные округа, </w:t>
            </w:r>
            <w:proofErr w:type="spellStart"/>
            <w:r w:rsidRPr="00424BBD">
              <w:t>Лахденпохское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Кондопожское</w:t>
            </w:r>
            <w:proofErr w:type="spellEnd"/>
            <w:r w:rsidRPr="00424BBD">
              <w:t xml:space="preserve"> городские поселения</w:t>
            </w:r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0,9</w:t>
            </w:r>
          </w:p>
        </w:tc>
      </w:tr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</w:pPr>
            <w:proofErr w:type="gramStart"/>
            <w:r w:rsidRPr="00424BBD">
              <w:t xml:space="preserve">Городские поселения (за исключением </w:t>
            </w:r>
            <w:proofErr w:type="spellStart"/>
            <w:r w:rsidRPr="00424BBD">
              <w:t>Калевальского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Кемского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Лоухского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Пяозерского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Чупинского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Лахденпохского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Кондопожского</w:t>
            </w:r>
            <w:proofErr w:type="spellEnd"/>
            <w:r w:rsidRPr="00424BBD">
              <w:t xml:space="preserve"> городских поселений)</w:t>
            </w:r>
            <w:proofErr w:type="gramEnd"/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0,7</w:t>
            </w:r>
          </w:p>
        </w:tc>
      </w:tr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</w:pPr>
            <w:proofErr w:type="gramStart"/>
            <w:r w:rsidRPr="00424BBD">
              <w:t>Беломорский</w:t>
            </w:r>
            <w:proofErr w:type="gramEnd"/>
            <w:r w:rsidRPr="00424BBD">
              <w:t xml:space="preserve">, Сегежский, </w:t>
            </w:r>
            <w:proofErr w:type="spellStart"/>
            <w:r w:rsidRPr="00424BBD">
              <w:t>Суоярвский</w:t>
            </w:r>
            <w:proofErr w:type="spellEnd"/>
            <w:r w:rsidRPr="00424BBD">
              <w:t xml:space="preserve"> муниципальные округа, </w:t>
            </w:r>
            <w:proofErr w:type="spellStart"/>
            <w:r w:rsidRPr="00424BBD">
              <w:t>Калевальское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Кемское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Лоухское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Пяозерское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Чупинское</w:t>
            </w:r>
            <w:proofErr w:type="spellEnd"/>
            <w:r w:rsidRPr="00424BBD">
              <w:t xml:space="preserve"> городские поселения</w:t>
            </w:r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0,5</w:t>
            </w:r>
          </w:p>
        </w:tc>
      </w:tr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</w:pPr>
            <w:proofErr w:type="gramStart"/>
            <w:r w:rsidRPr="00424BBD">
              <w:t xml:space="preserve">Сельские поселения (за исключением </w:t>
            </w:r>
            <w:proofErr w:type="spellStart"/>
            <w:r w:rsidRPr="00424BBD">
              <w:t>Амбарнского</w:t>
            </w:r>
            <w:proofErr w:type="spellEnd"/>
            <w:r w:rsidRPr="00424BBD">
              <w:t xml:space="preserve">, Боровского, </w:t>
            </w:r>
            <w:proofErr w:type="spellStart"/>
            <w:r w:rsidRPr="00424BBD">
              <w:t>Кривопорожского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Куземского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Кестеньгского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Луусалмского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Малиновараккского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Рабочеостровского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Плотинского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Юшкозерского</w:t>
            </w:r>
            <w:proofErr w:type="spellEnd"/>
            <w:r w:rsidRPr="00424BBD">
              <w:t xml:space="preserve"> сельских поселений)</w:t>
            </w:r>
            <w:proofErr w:type="gramEnd"/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0,5</w:t>
            </w:r>
          </w:p>
        </w:tc>
      </w:tr>
      <w:tr w:rsidR="00424BBD" w:rsidRPr="00424BBD">
        <w:tc>
          <w:tcPr>
            <w:tcW w:w="7150" w:type="dxa"/>
          </w:tcPr>
          <w:p w:rsidR="00742551" w:rsidRPr="00424BBD" w:rsidRDefault="00742551">
            <w:pPr>
              <w:pStyle w:val="ConsPlusNormal"/>
            </w:pPr>
            <w:proofErr w:type="spellStart"/>
            <w:r w:rsidRPr="00424BBD">
              <w:t>Амбарнское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Боровское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Кривопорожское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Куземское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Кестеньгское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Луусалмское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Малиновараккское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Рабочеостровское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Плотинское</w:t>
            </w:r>
            <w:proofErr w:type="spellEnd"/>
            <w:r w:rsidRPr="00424BBD">
              <w:t xml:space="preserve">, </w:t>
            </w:r>
            <w:proofErr w:type="spellStart"/>
            <w:r w:rsidRPr="00424BBD">
              <w:t>Юшкозерское</w:t>
            </w:r>
            <w:proofErr w:type="spellEnd"/>
            <w:r w:rsidRPr="00424BBD">
              <w:t xml:space="preserve"> сельские поселения</w:t>
            </w:r>
          </w:p>
        </w:tc>
        <w:tc>
          <w:tcPr>
            <w:tcW w:w="1843" w:type="dxa"/>
          </w:tcPr>
          <w:p w:rsidR="00742551" w:rsidRPr="00424BBD" w:rsidRDefault="00742551">
            <w:pPr>
              <w:pStyle w:val="ConsPlusNormal"/>
              <w:jc w:val="center"/>
            </w:pPr>
            <w:r w:rsidRPr="00424BBD">
              <w:t>0,25</w:t>
            </w:r>
          </w:p>
        </w:tc>
      </w:tr>
    </w:tbl>
    <w:p w:rsidR="00742551" w:rsidRPr="00424BBD" w:rsidRDefault="00742551">
      <w:pPr>
        <w:pStyle w:val="ConsPlusNormal"/>
        <w:jc w:val="right"/>
      </w:pPr>
      <w:r w:rsidRPr="00424BBD">
        <w:t>";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r w:rsidRPr="00424BBD">
        <w:t>10) приложение 2 признать утратившим силу.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Title"/>
        <w:ind w:firstLine="540"/>
        <w:jc w:val="both"/>
        <w:outlineLvl w:val="0"/>
      </w:pPr>
      <w:r w:rsidRPr="00424BBD">
        <w:t>Статья 2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ind w:firstLine="540"/>
        <w:jc w:val="both"/>
      </w:pPr>
      <w:r w:rsidRPr="00424BBD">
        <w:t>1. Настоящий Закон вступает в силу с 1 января 2025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742551" w:rsidRPr="00424BBD" w:rsidRDefault="00742551">
      <w:pPr>
        <w:pStyle w:val="ConsPlusNormal"/>
        <w:spacing w:before="220"/>
        <w:ind w:firstLine="540"/>
        <w:jc w:val="both"/>
      </w:pPr>
      <w:r w:rsidRPr="00424BBD">
        <w:lastRenderedPageBreak/>
        <w:t>2. Положение пункта 1.1 части 5 статьи 3 Закона Республики Карелия от 30 декабря 1999 года N 384-ЗРК "О налогах (ставках налогов) на территории Республики Карелия" (в редакции настоящего Закона) распространяется на правоотношения, возникшие с 1 января 2024 года, и действует до 31 декабря 2027 года включительно.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jc w:val="right"/>
      </w:pPr>
      <w:r w:rsidRPr="00424BBD">
        <w:t>Глава Республики Карелия</w:t>
      </w:r>
    </w:p>
    <w:p w:rsidR="00742551" w:rsidRPr="00424BBD" w:rsidRDefault="00742551">
      <w:pPr>
        <w:pStyle w:val="ConsPlusNormal"/>
        <w:jc w:val="right"/>
      </w:pPr>
      <w:r w:rsidRPr="00424BBD">
        <w:t>А.О.ПАРФЕНЧИКОВ</w:t>
      </w:r>
    </w:p>
    <w:p w:rsidR="00742551" w:rsidRPr="00424BBD" w:rsidRDefault="00742551">
      <w:pPr>
        <w:pStyle w:val="ConsPlusNormal"/>
      </w:pPr>
      <w:r w:rsidRPr="00424BBD">
        <w:t>г. Петрозаводск</w:t>
      </w:r>
    </w:p>
    <w:p w:rsidR="00742551" w:rsidRPr="00424BBD" w:rsidRDefault="00742551">
      <w:pPr>
        <w:pStyle w:val="ConsPlusNormal"/>
        <w:spacing w:before="220"/>
      </w:pPr>
      <w:r w:rsidRPr="00424BBD">
        <w:t>28 октября 2024 года</w:t>
      </w:r>
    </w:p>
    <w:p w:rsidR="00742551" w:rsidRPr="00424BBD" w:rsidRDefault="00742551">
      <w:pPr>
        <w:pStyle w:val="ConsPlusNormal"/>
        <w:spacing w:before="220"/>
      </w:pPr>
      <w:r w:rsidRPr="00424BBD">
        <w:t>N 2995-ЗРК</w:t>
      </w: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jc w:val="both"/>
      </w:pPr>
    </w:p>
    <w:p w:rsidR="00742551" w:rsidRPr="00424BBD" w:rsidRDefault="007425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538" w:rsidRPr="00424BBD" w:rsidRDefault="000E5538"/>
    <w:sectPr w:rsidR="000E5538" w:rsidRPr="00424BB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51"/>
    <w:rsid w:val="000E5538"/>
    <w:rsid w:val="00424BBD"/>
    <w:rsid w:val="00672EFD"/>
    <w:rsid w:val="007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25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2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25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2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2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2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25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42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25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2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25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2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2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2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25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42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Администратор</cp:lastModifiedBy>
  <cp:revision>2</cp:revision>
  <dcterms:created xsi:type="dcterms:W3CDTF">2024-11-29T12:31:00Z</dcterms:created>
  <dcterms:modified xsi:type="dcterms:W3CDTF">2024-12-02T07:50:00Z</dcterms:modified>
</cp:coreProperties>
</file>