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D3" w:rsidRPr="000F72D0" w:rsidRDefault="002104D3" w:rsidP="002104D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2104D3" w:rsidRPr="000F72D0" w:rsidRDefault="002104D3" w:rsidP="002104D3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</w:t>
      </w:r>
      <w:r>
        <w:rPr>
          <w:rFonts w:ascii="Times New Roman CYR" w:eastAsia="Calibri" w:hAnsi="Times New Roman CYR" w:cs="Times New Roman CYR"/>
          <w:lang w:eastAsia="en-US"/>
        </w:rPr>
        <w:t xml:space="preserve">от 40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включая: 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 xml:space="preserve">- 8 тестовых вопросов, </w:t>
      </w:r>
      <w:r w:rsidRPr="000F72D0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2104D3" w:rsidRPr="000F72D0" w:rsidRDefault="002104D3" w:rsidP="002104D3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2104D3" w:rsidRPr="000F72D0" w:rsidRDefault="002104D3" w:rsidP="002104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2104D3" w:rsidRPr="000F72D0" w:rsidRDefault="002104D3" w:rsidP="002104D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2104D3" w:rsidRPr="000F72D0" w:rsidRDefault="002104D3" w:rsidP="002104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2104D3" w:rsidRPr="000F72D0" w:rsidRDefault="002104D3" w:rsidP="002104D3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2104D3" w:rsidRPr="000F72D0" w:rsidRDefault="002104D3" w:rsidP="002104D3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определенным порядком. </w:t>
      </w:r>
    </w:p>
    <w:p w:rsidR="002104D3" w:rsidRPr="000F72D0" w:rsidRDefault="002104D3" w:rsidP="002104D3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2104D3" w:rsidRPr="000F72D0" w:rsidRDefault="002104D3" w:rsidP="002104D3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2104D3" w:rsidRPr="000F72D0" w:rsidRDefault="002104D3" w:rsidP="002104D3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-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lastRenderedPageBreak/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2104D3" w:rsidRPr="000F72D0" w:rsidRDefault="002104D3" w:rsidP="002104D3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2104D3" w:rsidRPr="000F72D0" w:rsidRDefault="002104D3" w:rsidP="002104D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2104D3" w:rsidRPr="000F72D0" w:rsidRDefault="002104D3" w:rsidP="002104D3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2104D3" w:rsidRPr="000F72D0" w:rsidRDefault="002104D3" w:rsidP="002104D3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2104D3" w:rsidRPr="000F72D0" w:rsidRDefault="002104D3" w:rsidP="002104D3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2104D3" w:rsidRPr="000F72D0" w:rsidRDefault="002104D3" w:rsidP="002104D3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2104D3" w:rsidRPr="000F72D0" w:rsidRDefault="002104D3" w:rsidP="002104D3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2104D3" w:rsidRPr="000F72D0" w:rsidRDefault="002104D3" w:rsidP="002104D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2104D3" w:rsidRPr="000F72D0" w:rsidRDefault="002104D3" w:rsidP="002104D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2104D3" w:rsidRPr="000F72D0" w:rsidRDefault="002104D3" w:rsidP="002104D3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2104D3" w:rsidRPr="000F72D0" w:rsidRDefault="002104D3" w:rsidP="002104D3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 xml:space="preserve">Инструкция </w:t>
      </w:r>
    </w:p>
    <w:p w:rsidR="002104D3" w:rsidRPr="000F72D0" w:rsidRDefault="002104D3" w:rsidP="002104D3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 xml:space="preserve">Тест содержит </w:t>
      </w:r>
      <w:r>
        <w:rPr>
          <w:rFonts w:eastAsia="Calibri"/>
          <w:lang w:eastAsia="en-US"/>
        </w:rPr>
        <w:t>40</w:t>
      </w:r>
      <w:r w:rsidRPr="000F72D0">
        <w:rPr>
          <w:rFonts w:eastAsia="Calibri"/>
          <w:lang w:eastAsia="en-US"/>
        </w:rPr>
        <w:t xml:space="preserve"> вопрос</w:t>
      </w:r>
      <w:r>
        <w:rPr>
          <w:rFonts w:eastAsia="Calibri"/>
          <w:lang w:eastAsia="en-US"/>
        </w:rPr>
        <w:t>ов</w:t>
      </w:r>
      <w:r w:rsidRPr="000F72D0">
        <w:rPr>
          <w:rFonts w:eastAsia="Calibri"/>
          <w:lang w:eastAsia="en-US"/>
        </w:rPr>
        <w:t xml:space="preserve"> из областей знаний, перечисленных ниже: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государственного языка Российской Федерации – русского языка;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Конституции Российской Федерации и основ конституционного устройства Российской Федерации;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о гражданской службе;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знание законодательства Российской Федерации о противодействии коррупции;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навыки в области информационно-коммуникационных технологий;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2104D3" w:rsidRPr="000F72D0" w:rsidTr="00873D45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104D3" w:rsidRPr="000F72D0" w:rsidRDefault="002104D3" w:rsidP="00873D45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959"/>
        <w:gridCol w:w="4305"/>
      </w:tblGrid>
      <w:tr w:rsidR="002104D3" w:rsidRPr="000F72D0" w:rsidTr="00873D45">
        <w:tc>
          <w:tcPr>
            <w:tcW w:w="4959" w:type="dxa"/>
            <w:shd w:val="clear" w:color="auto" w:fill="auto"/>
            <w:hideMark/>
          </w:tcPr>
          <w:p w:rsidR="002104D3" w:rsidRPr="000F72D0" w:rsidRDefault="002104D3" w:rsidP="00873D45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305" w:type="dxa"/>
            <w:shd w:val="clear" w:color="auto" w:fill="auto"/>
            <w:hideMark/>
          </w:tcPr>
          <w:p w:rsidR="002104D3" w:rsidRPr="000F72D0" w:rsidRDefault="002104D3" w:rsidP="00873D45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2104D3" w:rsidRPr="000F72D0" w:rsidTr="00873D45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2104D3" w:rsidRPr="000F72D0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2104D3" w:rsidRPr="00B60A0F" w:rsidTr="00873D45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104D3" w:rsidRPr="000F72D0" w:rsidRDefault="002104D3" w:rsidP="00873D4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2104D3" w:rsidRPr="000F72D0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2104D3" w:rsidRPr="00B60A0F" w:rsidTr="00873D45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2104D3" w:rsidRPr="00B60A0F" w:rsidTr="00873D45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2104D3" w:rsidRPr="000F72D0" w:rsidRDefault="002104D3" w:rsidP="00873D45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2104D3" w:rsidRPr="000F72D0" w:rsidRDefault="002104D3" w:rsidP="00873D45">
            <w:pPr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E1CD124" wp14:editId="22902374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2540" t="0" r="0" b="444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Рисуно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lastRenderedPageBreak/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2104D3" w:rsidRPr="000F72D0" w:rsidRDefault="002104D3" w:rsidP="002104D3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Время ограничено. Начав выполнять тест, необходимо делать это как можно более быстро и точно.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Если Вы хотите изменить ответ, зачеркните первый вариант и отметьте крестиком свой новый ответ.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Следите за тем, чтобы номер вопроса в буклете соответствовал номеру вопроса в бланке для ответов.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Каждый вопрос имеет только один правильный ответ.</w:t>
      </w:r>
    </w:p>
    <w:p w:rsidR="002104D3" w:rsidRPr="000F72D0" w:rsidRDefault="002104D3" w:rsidP="002104D3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- Не делайте никаких пометок в буклете.</w:t>
      </w:r>
    </w:p>
    <w:p w:rsidR="00FD34D2" w:rsidRDefault="002104D3" w:rsidP="002104D3">
      <w:bookmarkStart w:id="0" w:name="_GoBack"/>
      <w:bookmarkEnd w:id="0"/>
      <w:r w:rsidRPr="000F72D0">
        <w:rPr>
          <w:rFonts w:eastAsia="Calibri"/>
          <w:lang w:eastAsia="en-US"/>
        </w:rPr>
        <w:t>- Не забудьте вернуть данный буклет организаторам тестирования.</w:t>
      </w:r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E5" w:rsidRDefault="008323E5">
      <w:r>
        <w:separator/>
      </w:r>
    </w:p>
  </w:endnote>
  <w:endnote w:type="continuationSeparator" w:id="0">
    <w:p w:rsidR="008323E5" w:rsidRDefault="0083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E5" w:rsidRDefault="008323E5">
      <w:r>
        <w:separator/>
      </w:r>
    </w:p>
  </w:footnote>
  <w:footnote w:type="continuationSeparator" w:id="0">
    <w:p w:rsidR="008323E5" w:rsidRDefault="0083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D3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104D3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3E5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4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4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2022-05-12T13:51:00Z</dcterms:created>
  <dcterms:modified xsi:type="dcterms:W3CDTF">2022-05-12T13:53:00Z</dcterms:modified>
</cp:coreProperties>
</file>