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31" w:rsidRDefault="00F00031">
      <w:pPr>
        <w:pStyle w:val="ConsPlusNormal"/>
      </w:pPr>
    </w:p>
    <w:p w:rsidR="00F00031" w:rsidRDefault="00F00031">
      <w:pPr>
        <w:pStyle w:val="ConsPlusNormal"/>
        <w:jc w:val="right"/>
        <w:outlineLvl w:val="0"/>
      </w:pPr>
      <w:r>
        <w:t>Приложение N 1</w:t>
      </w:r>
    </w:p>
    <w:p w:rsidR="00F00031" w:rsidRDefault="00F00031">
      <w:pPr>
        <w:pStyle w:val="ConsPlusNormal"/>
        <w:jc w:val="right"/>
      </w:pPr>
      <w:r>
        <w:t>к решению</w:t>
      </w:r>
    </w:p>
    <w:p w:rsidR="00F00031" w:rsidRDefault="00F00031">
      <w:pPr>
        <w:pStyle w:val="ConsPlusNormal"/>
        <w:jc w:val="right"/>
      </w:pPr>
      <w:r>
        <w:t>внеочередной сессии</w:t>
      </w:r>
    </w:p>
    <w:p w:rsidR="00F00031" w:rsidRDefault="00F00031">
      <w:pPr>
        <w:pStyle w:val="ConsPlusNormal"/>
        <w:jc w:val="right"/>
      </w:pPr>
      <w:r>
        <w:t>Совета муниципального образования</w:t>
      </w:r>
    </w:p>
    <w:p w:rsidR="00F00031" w:rsidRDefault="00F00031">
      <w:pPr>
        <w:pStyle w:val="ConsPlusNormal"/>
        <w:jc w:val="right"/>
      </w:pPr>
      <w:r>
        <w:t>городского округа "Усинск"</w:t>
      </w:r>
    </w:p>
    <w:p w:rsidR="00F00031" w:rsidRDefault="00F00031">
      <w:pPr>
        <w:pStyle w:val="ConsPlusNormal"/>
        <w:jc w:val="right"/>
      </w:pPr>
      <w:r>
        <w:t>четвертого созыва</w:t>
      </w:r>
    </w:p>
    <w:p w:rsidR="00F00031" w:rsidRDefault="00F00031">
      <w:pPr>
        <w:pStyle w:val="ConsPlusNormal"/>
        <w:jc w:val="right"/>
      </w:pPr>
      <w:r>
        <w:t xml:space="preserve">от 11 ноября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392</w:t>
      </w:r>
    </w:p>
    <w:p w:rsidR="00F00031" w:rsidRDefault="00F00031">
      <w:pPr>
        <w:pStyle w:val="ConsPlusNormal"/>
      </w:pPr>
    </w:p>
    <w:p w:rsidR="00F00031" w:rsidRDefault="00F00031">
      <w:pPr>
        <w:pStyle w:val="ConsPlusTitle"/>
        <w:jc w:val="center"/>
      </w:pPr>
      <w:bookmarkStart w:id="0" w:name="P48"/>
      <w:bookmarkEnd w:id="0"/>
      <w:r>
        <w:t>ВИДЫ</w:t>
      </w:r>
    </w:p>
    <w:p w:rsidR="00F00031" w:rsidRDefault="00F00031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F00031" w:rsidRDefault="00F00031">
      <w:pPr>
        <w:pStyle w:val="ConsPlusTitle"/>
        <w:jc w:val="center"/>
      </w:pPr>
      <w:r>
        <w:t>ВВОДИТСЯ СИСТЕМА НАЛОГООБЛОЖЕНИЯ В ВИДЕ ЕДИНОГО НАЛОГА</w:t>
      </w:r>
    </w:p>
    <w:p w:rsidR="00F00031" w:rsidRDefault="00F00031">
      <w:pPr>
        <w:pStyle w:val="ConsPlusTitle"/>
        <w:jc w:val="center"/>
      </w:pPr>
      <w:r>
        <w:t>НА ВМЕНЕННЫЙ ДОХОД НА ТЕРРИТОРИИ МУНИЦИПАЛЬНОГО ОБРАЗОВАНИЯ</w:t>
      </w:r>
    </w:p>
    <w:p w:rsidR="00F00031" w:rsidRDefault="00F00031">
      <w:pPr>
        <w:pStyle w:val="ConsPlusTitle"/>
        <w:jc w:val="center"/>
      </w:pPr>
      <w:r>
        <w:t>ГОРОДСКОГО ОКРУГА "УСИНСК"</w:t>
      </w:r>
    </w:p>
    <w:p w:rsidR="00F00031" w:rsidRDefault="00F00031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0003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00031" w:rsidRDefault="00F000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031" w:rsidRDefault="00F000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МО городского округа "Усинск" от 25.04.2017 N 119)</w:t>
            </w:r>
          </w:p>
        </w:tc>
      </w:tr>
    </w:tbl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Виды предпринимательской деятельности, в отношении которых вводится единый налог на вмененный доход на территории муниципального образования городского округа "Усинск":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 xml:space="preserve">1) оказание бытовых услуг. Коды услуг классифицируются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относящимся к бытовым услугам;</w:t>
      </w:r>
    </w:p>
    <w:p w:rsidR="00F00031" w:rsidRDefault="00F00031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"Усинск" от 25.04.2017 N 119)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оказание ветеринарных услуг;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имеющих зала обслуживания посетителей;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</w:pPr>
    </w:p>
    <w:p w:rsidR="00F00031" w:rsidRDefault="00F00031">
      <w:pPr>
        <w:pStyle w:val="ConsPlusNormal"/>
      </w:pPr>
    </w:p>
    <w:p w:rsidR="00F00031" w:rsidRDefault="00F00031">
      <w:pPr>
        <w:pStyle w:val="ConsPlusNormal"/>
      </w:pPr>
    </w:p>
    <w:p w:rsidR="00F00031" w:rsidRDefault="00F00031">
      <w:pPr>
        <w:pStyle w:val="ConsPlusNormal"/>
      </w:pPr>
    </w:p>
    <w:p w:rsidR="00F00031" w:rsidRDefault="00F00031">
      <w:pPr>
        <w:pStyle w:val="ConsPlusNormal"/>
        <w:jc w:val="right"/>
        <w:outlineLvl w:val="0"/>
      </w:pPr>
      <w:r>
        <w:t>Приложение N 2</w:t>
      </w:r>
    </w:p>
    <w:p w:rsidR="00F00031" w:rsidRDefault="00F00031">
      <w:pPr>
        <w:pStyle w:val="ConsPlusNormal"/>
        <w:jc w:val="right"/>
      </w:pPr>
      <w:r>
        <w:t>к решению</w:t>
      </w:r>
    </w:p>
    <w:p w:rsidR="00F00031" w:rsidRDefault="00F00031">
      <w:pPr>
        <w:pStyle w:val="ConsPlusNormal"/>
        <w:jc w:val="right"/>
      </w:pPr>
      <w:r>
        <w:t>внеочередной сессии</w:t>
      </w:r>
    </w:p>
    <w:p w:rsidR="00F00031" w:rsidRDefault="00F00031">
      <w:pPr>
        <w:pStyle w:val="ConsPlusNormal"/>
        <w:jc w:val="right"/>
      </w:pPr>
      <w:r>
        <w:t>Совета муниципального образования</w:t>
      </w:r>
    </w:p>
    <w:p w:rsidR="00F00031" w:rsidRDefault="00F00031">
      <w:pPr>
        <w:pStyle w:val="ConsPlusNormal"/>
        <w:jc w:val="right"/>
      </w:pPr>
      <w:r>
        <w:t>городского округа "Усинск"</w:t>
      </w:r>
    </w:p>
    <w:p w:rsidR="00F00031" w:rsidRDefault="00F00031">
      <w:pPr>
        <w:pStyle w:val="ConsPlusNormal"/>
        <w:jc w:val="right"/>
      </w:pPr>
      <w:r>
        <w:t>четвертого созыва</w:t>
      </w:r>
    </w:p>
    <w:p w:rsidR="00F00031" w:rsidRDefault="00F00031">
      <w:pPr>
        <w:pStyle w:val="ConsPlusNormal"/>
        <w:jc w:val="right"/>
      </w:pPr>
      <w:r>
        <w:t xml:space="preserve">от 11 ноября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N 392</w:t>
      </w:r>
    </w:p>
    <w:p w:rsidR="00F00031" w:rsidRDefault="00F00031">
      <w:pPr>
        <w:pStyle w:val="ConsPlusNormal"/>
      </w:pPr>
    </w:p>
    <w:p w:rsidR="00F00031" w:rsidRDefault="00F00031">
      <w:pPr>
        <w:pStyle w:val="ConsPlusTitle"/>
        <w:jc w:val="center"/>
      </w:pPr>
      <w:bookmarkStart w:id="1" w:name="P85"/>
      <w:bookmarkEnd w:id="1"/>
      <w:r>
        <w:t>ЗНАЧЕНИЯ</w:t>
      </w:r>
    </w:p>
    <w:p w:rsidR="00F00031" w:rsidRDefault="00F00031">
      <w:pPr>
        <w:pStyle w:val="ConsPlusTitle"/>
        <w:jc w:val="center"/>
      </w:pPr>
      <w:r>
        <w:t>КОРРЕКТИРУЮЩЕГО КОЭФФИЦИЕНТА БАЗОВОЙ ДОХОДНОСТИ К2,</w:t>
      </w:r>
    </w:p>
    <w:p w:rsidR="00F00031" w:rsidRDefault="00F00031">
      <w:pPr>
        <w:pStyle w:val="ConsPlusTitle"/>
        <w:jc w:val="center"/>
      </w:pPr>
      <w:r>
        <w:t>УЧИТЫВАЮЩЕГО СОВОКУПНОСТЬ ОСОБЕННОСТЕЙ ВЕДЕНИЯ</w:t>
      </w:r>
    </w:p>
    <w:p w:rsidR="00F00031" w:rsidRDefault="00F00031">
      <w:pPr>
        <w:pStyle w:val="ConsPlusTitle"/>
        <w:jc w:val="center"/>
      </w:pPr>
      <w:r>
        <w:t>ПРЕДПРИНИМАТЕЛЬСКОЙ ДЕЯТЕЛЬНОСТИ</w:t>
      </w:r>
    </w:p>
    <w:p w:rsidR="00F00031" w:rsidRDefault="00F00031">
      <w:pPr>
        <w:spacing w:after="1"/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00031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F00031" w:rsidRDefault="00F000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031" w:rsidRDefault="00F000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МО городского округа "Усинск" от 25.04.2017 </w:t>
            </w:r>
            <w:hyperlink r:id="rId7" w:history="1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F00031" w:rsidRDefault="00F000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31.10.2019 </w:t>
            </w:r>
            <w:hyperlink r:id="rId8" w:history="1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00031" w:rsidRDefault="00F00031">
      <w:pPr>
        <w:pStyle w:val="ConsPlusNormal"/>
      </w:pPr>
    </w:p>
    <w:p w:rsidR="00F00031" w:rsidRDefault="00F00031">
      <w:pPr>
        <w:pStyle w:val="ConsPlusTitle"/>
        <w:jc w:val="center"/>
        <w:outlineLvl w:val="1"/>
      </w:pPr>
      <w:r>
        <w:t>I. Корректирующий коэффициент базовой доходности К2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Значение корректирующего коэффициента базовой доходности К2 (далее -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К2 = Пас x Псе x ... x Пn, где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Пас - показатель ассортимента товаров (работ, услуг);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Псе - показатель сезонности;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 - показатель, учитывающий режим работы;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При - показатель развития инфраструктуры;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Птм - показатель, учитывающий расположение торгового места;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Пт - показатель, учитывающий тип точки общественного питания;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Пхоу - показатель, учитывающий характер оказываемых услуг;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Птас - показатель, учитывающий тип автотранспортного средства;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Прп - показатель, учитывающий размер площади, используемой для хозяйственной деятельности;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Пттм - показатель, учитывающий тип торгового места, передаваемого во временное владение и (или) пользование;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Пn - понижающие (повышающие) показатели, применяемые при расчете коэффициента К2 в зависимости от вида предпринимательской деятельности.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Примечания: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при расчетном значении коэффициента К2 менее 0,005 применяется коэффициент К2, равный 0,005;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при расчетном значении коэффициента К2 более 1 применяется коэффициент К2, равный 1;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3) значения показателей определяются на календарный год;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4) при расчете коэффициента К2 полученное значение округляется до трех цифр после запятой.</w:t>
      </w:r>
    </w:p>
    <w:p w:rsidR="00F00031" w:rsidRDefault="00F00031">
      <w:pPr>
        <w:pStyle w:val="ConsPlusNormal"/>
      </w:pPr>
    </w:p>
    <w:p w:rsidR="00F00031" w:rsidRDefault="00F00031">
      <w:pPr>
        <w:pStyle w:val="ConsPlusTitle"/>
        <w:jc w:val="center"/>
        <w:outlineLvl w:val="1"/>
      </w:pPr>
      <w:r>
        <w:t>II. Показатели, учитывающие особенности ведения</w:t>
      </w:r>
    </w:p>
    <w:p w:rsidR="00F00031" w:rsidRDefault="00F00031">
      <w:pPr>
        <w:pStyle w:val="ConsPlusTitle"/>
        <w:jc w:val="center"/>
      </w:pPr>
      <w:r>
        <w:t>предпринимательской деятельности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 xml:space="preserve">1. Показатели, учитывающие особенности ведения предпринимательской деятельности при оказании бытовых услуг, классифицируемых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услугам:</w:t>
      </w:r>
    </w:p>
    <w:p w:rsidR="00F00031" w:rsidRDefault="00F00031">
      <w:pPr>
        <w:pStyle w:val="ConsPlusNormal"/>
        <w:jc w:val="both"/>
      </w:pPr>
      <w:r>
        <w:t xml:space="preserve">(п. 1 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"Усинск" от 25.04.2017 N 119)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1.1. Показатель, учитывающий характер оказываемых услуг (Пхоу):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ремонт, окраска и пошив обуви - 0,55;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ремонт часов - 0,4;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д) ремонт и изготовление ювелирных изделий - 0,4;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е) изготовление и ремонт мебели - 0,6;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ж) химическая чистка и крашение, услуги прачечных - 0,25;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з) ремонт и строительство жилья и других построек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и) услуги фотоателье, фото- и кинолабораторий с применением автоматического оборудования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к) услуги фотоателье, фото- и кинолабораторий без применения автоматического оборудования - 0,5;</w:t>
      </w:r>
    </w:p>
    <w:p w:rsidR="00F00031" w:rsidRDefault="00F00031">
      <w:pPr>
        <w:pStyle w:val="ConsPlusNormal"/>
        <w:spacing w:before="220"/>
        <w:ind w:firstLine="540"/>
        <w:jc w:val="both"/>
      </w:pPr>
      <w:bookmarkStart w:id="2" w:name="P132"/>
      <w:bookmarkEnd w:id="2"/>
      <w:r>
        <w:t>л) прочие услуги производственного характера - 0,3;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м) услуги бань и душевых, кроме услуг массажа и водолечебных процедур - 0,1;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н) услуги массажа и водолечебных процедур, оказываемые в банях и душевых, - 0,4;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о) услуги парикмахерских - 0,6;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п) услуги гигиенического маникюра и педикюра - 0,35;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р) услуги по прокату - 0,4;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с) ритуальные и обрядовые услуги - 0,55;</w:t>
      </w:r>
    </w:p>
    <w:p w:rsidR="00F00031" w:rsidRDefault="00F00031">
      <w:pPr>
        <w:pStyle w:val="ConsPlusNormal"/>
        <w:spacing w:before="220"/>
        <w:ind w:firstLine="540"/>
        <w:jc w:val="both"/>
      </w:pPr>
      <w:bookmarkStart w:id="3" w:name="P139"/>
      <w:bookmarkEnd w:id="3"/>
      <w:r>
        <w:t>т) прочие услуги непроизводственного характера - 0,2.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Примечания: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 xml:space="preserve">1) Виды услуг, указанных в </w:t>
      </w:r>
      <w:hyperlink w:anchor="P132" w:history="1">
        <w:r>
          <w:rPr>
            <w:color w:val="0000FF"/>
          </w:rPr>
          <w:t>подпунктах "л"</w:t>
        </w:r>
      </w:hyperlink>
      <w:r>
        <w:t xml:space="preserve"> и </w:t>
      </w:r>
      <w:hyperlink w:anchor="P139" w:history="1">
        <w:r>
          <w:rPr>
            <w:color w:val="0000FF"/>
          </w:rPr>
          <w:t>"т"</w:t>
        </w:r>
      </w:hyperlink>
      <w:r>
        <w:t xml:space="preserve">, определяются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2008).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Для организаций и предпринимателей, оказывающих три и более видов бытовых услуг населению, переведенных настоящим решением на уплату единого налога, значение показателя Пхоу устанавливается равным 0,35.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1.2. Показатель, учитывающий режим работы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12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1.3.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2. Показатели, учитывающие особенности ведения предпринимательской деятельности по оказанию ветеринарных услуг: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2.1.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2.2. Показатель, учитывающий режим работы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9 часов до 12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12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3. Показатели, учитывающие особенности ведения предпринимательской деятельности при оказании услуг по ремонту, техническому обслуживанию и мойке автомототранспортных средств: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3.1. Показатель сезонности (Псе)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3.2. Показатель, учитывающий режим работы (без учета перерыва на обед) (Пр)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3.3. Показатель, учитывающий характер оказываемых услуг (Пхоу)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3.4.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4.1.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4.2. Показатель, учитывающий характер оказываемых услуг (Пхоу):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автостоянки открытого типа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автостоянки закрытого типа, кроме встроенных в жилые и торговые комплексы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автостоянки смешанного типа - 0,6;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автостоянки, встроенные в жилые и торговые комплексы,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4.3. Показатель, учитывающий размер площади, используемой для хозяйственной деятельности (Прп):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до 300 кв.м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от 301 до 2000 кв.м - 0,6;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от 2001 до 5000 кв.м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свыше 5000 кв.м - 0,4.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5. Показатели, учитывающие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5.1. Показатель, учитывающий тип транспортного средства (Птас):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транспортное обслуживание легковыми автомобилями - такси - 0,85;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транспортное обслуживание маршрутными такси и коммерческими автобусами: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автобусы малого класса (типа "Газель", РАФ, УАЗ, ПАЗ, КАвЗ и другие) - 0,85;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автобусы среднего и большого классов (типа ЛАЗ, ПАЗ, "Ikarus", "Mercedes" и другие)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транспортное обслуживание грузовыми автомобилями: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автомобили грузоподъемностью до 8 тонн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автомобили грузоподъемностью 8 и более тонн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5.2.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 Показатели, учитывающие особенности ведения предпринимательской деятельности при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6.1. Показатель ассортимента реализуемой продукции (Пас):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6.1.1. Продовольственные товары: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кроме ликероводочных, пива и табачных изделий - 0,6;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включая ликероводочные, пиво и табачные изделия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специализированная розничная торговля продовольственными товарами: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ликероводочные изделия, пиво, табак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мороженое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3) картофель, овощи и фруктово-ягодные культуры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4) молоко и молочная продукция, масло животное, сыры - 0,45;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5) хлеб и хлебобулочные изделия - 0,4.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6.1.2. Непродовольственные товары: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ассортимент которых включает один из следующих видов товаров: одежда из кожи, сложная бытовая техника, оргтехника, ювелирные изделия - 0,9;</w:t>
      </w:r>
    </w:p>
    <w:p w:rsidR="00F00031" w:rsidRDefault="00F0003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"Усинск" от 31.10.2019 N 370)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ассортимент которых включает транспортные средства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специализированная розничная торговля непродовольственными товарами: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семена, саженцы, рассада, удобрения, средства защиты растений - 0,3;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товары народного промысла, товары и корма для животных, печатные издания и бумажно-беловые товары - 0,4;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3) мебель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4) товары религиозного и ритуального назначения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 xml:space="preserve">5) лекарственные средства (за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средств"), изделия медицинского назначения, медицинская техника, стоматологические товары, оптика - 0,7;</w:t>
      </w:r>
    </w:p>
    <w:p w:rsidR="00F00031" w:rsidRDefault="00F0003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"Усинск" от 31.10.2019 N 370)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6) спортивные товары (за исключением обуви, подлежащей обязательной маркировке средствами идентификации), парфюмерно-косметические товары - 0,8;</w:t>
      </w:r>
    </w:p>
    <w:p w:rsidR="00F00031" w:rsidRDefault="00F0003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"Усинск" от 31.10.2019 N 370)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 xml:space="preserve">7) исключен с 1 января 2020 года. - </w:t>
      </w:r>
      <w:hyperlink r:id="rId16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"Усинск" от 31.10.2019 N 370;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8) цветы, оружие, автозапчасти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иные непродовольственные товары - 0,7.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  <w:ind w:firstLine="540"/>
        <w:jc w:val="both"/>
      </w:pPr>
      <w:r>
        <w:t>6.2. Показатель, учитывающий режим работы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16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6.3.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6.4.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К2 устанавливается в размере 0,1.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 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не имеющей торговых залов, а также объекты нестационарной торговой сети: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7.1. Показатели для объектов стационарной торговой сети, не имеющей торговых залов: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7.1.1. Показатель ассортимента реализуемой продукции (Пас):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продовольственные товары - 0,7,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 том числе ликероводочные, пиво и табачные изделия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непродовольственные товары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7.1.2. Показатель, учитывающий режим работы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16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7.1.3. Показатель, учитывающий расположение торгового места (Птм):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киоск, торговое место внутри помещения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торговое место вне помещения, исключая киоск - 0,9.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7.1.4.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7.2. Показатели для объектов нестационарной торговой сети: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7.2.1. Показатель ассортимента реализуемой продукции (Пас):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продовольственные товары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непродовольственные товары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специализированная торговля: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1) товары народного промысла, печатные издания и бумажно-беловые товары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2) товары религиозного и ритуального назначения - 0,5;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3) цветы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7.2.2. Показатель сезонности (Псе):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II, III кварталы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I, IV кварталы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7.2.3.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8.1. Показатель сезонности (Псе) для всех точек общественного питания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8.2. Показатель ассортимента реализуемой продукции (Пас):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включающего ликероводочные, пиво и табачные изделия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за исключением ликероводочных, пива и табачных изделий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8.3. Показатель, учитывающий режим работы точки общественного питания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- 0,7;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12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8.4. Показатель, учитывающий тип точки общественного питания (Пт):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рестораны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бары - 0,95;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кафе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д) иные столовые, закусочные, буфеты, кафетерии и другие точки общественного питания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8.5.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 Показатели, учитывающие особенности ведения предпринимательской деятельности при оказании услуг общественного питания, осуществляемых через объекты организации общественного питания, не имеющих зала обслуживания посетителей: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9.1. Показатель сезонности (Псе):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II, III кварталы, за исключением сезонных точек общественного питания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I, IV кварталы, за исключением сезонных точек общественного питания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для сезонных точек общественного питания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9.2. Показатель ассортимента реализуемой продукции (Пас):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включающего ликероводочные, пиво и табачные изделия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за исключением ликероводочных, пива и табачных изделий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9.3. Показатель, учитывающий режим работы точки общественного питания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6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6 часов до 12 часов в день включительно - 0,95;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12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9.4. Показатель, учитывающий тип точки общественного питания (Пт):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рестораны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бары - 0,95;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кафе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частей, - 0,005;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д) иные столовые, закусочные, буфеты, кафетерии и другие точки общественного питания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9.5.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10. Показатели, учитывающие особенности ведения предпринимательской деятельности при оказании услуг по распространению наружной рекламы с использованием рекламных конструкций: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10.1.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10.2. Показатель, учитывающий характер оказываемых услуг (Пхоу):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распространение наружной рекламы на: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световых и электронных табло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иных средствах наружной рекламы - 0,2.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11. Показатели, учитывающие особенности ведения предпринимательской деятельности при оказании услуг размещения рекламы с использованием внешних и внутренних поверхностей транспортных средств: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11.1. Показатель, учитывающий тип автотранспортного средства: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для всех типов автобусов, трамваев, троллейбусов, легковых и грузовых автомобилей, прицепов, полуприцепов и прицепов-роспусков, речных судов (Птас)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11.2.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12.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12.1. Показатель, учитывающий характер оказываемых услуг (Пхоу):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Предоставление помещений для временного размещения и проживания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общей площадью в каждом объекте предоставления данных услуг не более 100 кв.м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общей площадью в каждом объекте предоставления данных услуг более 100 кв.м - 0,3.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12.2.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13.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13.1. Показатель, учитывающий тип торгового места, передаваемого во временное владение и (или) пользование (Пттм):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торговое место, имеющее зал обслуживания, подключенное к системе отопления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торговое место, не имеющее зала обслуживания, подключенное к системе отопления,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торговое место, имеющее зал обслуживания, не подключенное к системе отопления,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г) торговое место, не имеющее зала обслуживания, не подключенное к системе отопления, - 0,7.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13.2. Показатель сезонности (Псе):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II, III кварталы - 1,0;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I, IV кварталы - 0,8.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13.3. Показатель развития инфраструктуры (При)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14. 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14.1. Показатель, учитывающий режим работы (без учета перерыва на обед) (Пр):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при графике работы до 9 часов в день включительно - 0,8;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при графике работы свыше 9 часов до 16 часов в день включительно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в) при графике работы свыше 16 часов - 1,0.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14.2. Показатель развития инфраструктуры (При):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а) для населенных пунктов с численностью проживающих 1000 человек и более - 0,9;</w:t>
      </w:r>
    </w:p>
    <w:p w:rsidR="00F00031" w:rsidRDefault="00F00031">
      <w:pPr>
        <w:pStyle w:val="ConsPlusNormal"/>
        <w:spacing w:before="220"/>
        <w:ind w:firstLine="540"/>
        <w:jc w:val="both"/>
      </w:pPr>
      <w:r>
        <w:t>б) для населенных пунктов с численностью проживающих менее 1000 человек - 0,35.</w:t>
      </w:r>
    </w:p>
    <w:p w:rsidR="00F00031" w:rsidRDefault="00F00031">
      <w:pPr>
        <w:pStyle w:val="ConsPlusNormal"/>
      </w:pPr>
    </w:p>
    <w:p w:rsidR="00F00031" w:rsidRDefault="00F00031">
      <w:pPr>
        <w:pStyle w:val="ConsPlusNormal"/>
      </w:pPr>
    </w:p>
    <w:p w:rsidR="00F00031" w:rsidRDefault="00F000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0031" w:rsidRDefault="00F00031"/>
    <w:sectPr w:rsidR="00F00031" w:rsidSect="0017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2F0"/>
    <w:rsid w:val="00004FE4"/>
    <w:rsid w:val="001761E8"/>
    <w:rsid w:val="002242F0"/>
    <w:rsid w:val="00231E3C"/>
    <w:rsid w:val="003B66FA"/>
    <w:rsid w:val="00463300"/>
    <w:rsid w:val="005808E8"/>
    <w:rsid w:val="009E1350"/>
    <w:rsid w:val="00A24CDF"/>
    <w:rsid w:val="00A91E59"/>
    <w:rsid w:val="00AB6D80"/>
    <w:rsid w:val="00B41F88"/>
    <w:rsid w:val="00CB6A97"/>
    <w:rsid w:val="00EF5D85"/>
    <w:rsid w:val="00F0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42F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2242F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242F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1A21E04A27356044E398C17DDEFBBE8C8FBF240DF993A8E103EDF5FC365B147268257A1C600C2466C1950BB87B86A93B01617F878E197DE7F5F9FcCNDJ" TargetMode="External"/><Relationship Id="rId13" Type="http://schemas.openxmlformats.org/officeDocument/2006/relationships/hyperlink" Target="consultantplus://offline/ref=A5A1A21E04A27356044E278101B1B1BFEDC1A2F848DE9A68D1403888009363E41566DC0EE08513C244721B50BDc8N5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A1A21E04A27356044E398C17DDEFBBE8C8FBF240DA953D84113EDF5FC365B147268257A1C600C2466C1950B587B86A93B01617F878E197DE7F5F9FcCNDJ" TargetMode="External"/><Relationship Id="rId12" Type="http://schemas.openxmlformats.org/officeDocument/2006/relationships/hyperlink" Target="consultantplus://offline/ref=A5A1A21E04A27356044E398C17DDEFBBE8C8FBF240DF993A8E103EDF5FC365B147268257A1C600C2466C1950B487B86A93B01617F878E197DE7F5F9FcCND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A1A21E04A27356044E398C17DDEFBBE8C8FBF240DF993A8E103EDF5FC365B147268257A1C600C2466C1951BD87B86A93B01617F878E197DE7F5F9FcCN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A1A21E04A27356044E398C17DDEFBBE8C8FBF240DA953D84113EDF5FC365B147268257A1C600C2466C1950BB87B86A93B01617F878E197DE7F5F9FcCNDJ" TargetMode="External"/><Relationship Id="rId11" Type="http://schemas.openxmlformats.org/officeDocument/2006/relationships/hyperlink" Target="consultantplus://offline/ref=A5A1A21E04A27356044E278101B1B1BFEDC7A5F940DA9A68D1403888009363E41566DC0EE08513C244721B50BDc8N5J" TargetMode="External"/><Relationship Id="rId5" Type="http://schemas.openxmlformats.org/officeDocument/2006/relationships/hyperlink" Target="consultantplus://offline/ref=A5A1A21E04A27356044E278101B1B1BFEDC7A5F940DA9A68D1403888009363E41566DC0EE08513C244721B50BDc8N5J" TargetMode="External"/><Relationship Id="rId15" Type="http://schemas.openxmlformats.org/officeDocument/2006/relationships/hyperlink" Target="consultantplus://offline/ref=A5A1A21E04A27356044E398C17DDEFBBE8C8FBF240DF993A8E103EDF5FC365B147268257A1C600C2466C1951BC87B86A93B01617F878E197DE7F5F9FcCNDJ" TargetMode="External"/><Relationship Id="rId10" Type="http://schemas.openxmlformats.org/officeDocument/2006/relationships/hyperlink" Target="consultantplus://offline/ref=A5A1A21E04A27356044E398C17DDEFBBE8C8FBF240DA953D84113EDF5FC365B147268257A1C600C2466C1950B587B86A93B01617F878E197DE7F5F9FcCNDJ" TargetMode="External"/><Relationship Id="rId4" Type="http://schemas.openxmlformats.org/officeDocument/2006/relationships/hyperlink" Target="consultantplus://offline/ref=A5A1A21E04A27356044E398C17DDEFBBE8C8FBF240DA953D84113EDF5FC365B147268257A1C600C2466C1950BB87B86A93B01617F878E197DE7F5F9FcCNDJ" TargetMode="External"/><Relationship Id="rId9" Type="http://schemas.openxmlformats.org/officeDocument/2006/relationships/hyperlink" Target="consultantplus://offline/ref=A5A1A21E04A27356044E278101B1B1BFEDC7A5F940DA9A68D1403888009363E41566DC0EE08513C244721B50BDc8N5J" TargetMode="External"/><Relationship Id="rId14" Type="http://schemas.openxmlformats.org/officeDocument/2006/relationships/hyperlink" Target="consultantplus://offline/ref=A5A1A21E04A27356044E398C17DDEFBBE8C8FBF240DF993A8E103EDF5FC365B147268257A1C600C2466C1950B587B86A93B01617F878E197DE7F5F9FcCN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12</Pages>
  <Words>3721</Words>
  <Characters>21214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Internet</cp:lastModifiedBy>
  <cp:revision>4</cp:revision>
  <dcterms:created xsi:type="dcterms:W3CDTF">2019-12-27T09:13:00Z</dcterms:created>
  <dcterms:modified xsi:type="dcterms:W3CDTF">2020-01-14T09:47:00Z</dcterms:modified>
</cp:coreProperties>
</file>