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2A" w:rsidRDefault="009F312A" w:rsidP="009F312A">
      <w:pPr>
        <w:pStyle w:val="ConsPlusNormal"/>
        <w:jc w:val="right"/>
        <w:outlineLvl w:val="0"/>
      </w:pPr>
      <w:r>
        <w:t xml:space="preserve">Приложение </w:t>
      </w:r>
      <w:r>
        <w:t xml:space="preserve">№ </w:t>
      </w:r>
      <w:bookmarkStart w:id="0" w:name="_GoBack"/>
      <w:bookmarkEnd w:id="0"/>
      <w:r>
        <w:t xml:space="preserve"> 1</w:t>
      </w:r>
    </w:p>
    <w:p w:rsidR="009F312A" w:rsidRDefault="009F312A" w:rsidP="009F312A">
      <w:pPr>
        <w:pStyle w:val="ConsPlusNormal"/>
        <w:jc w:val="right"/>
      </w:pPr>
      <w:r>
        <w:t>к Закону</w:t>
      </w:r>
    </w:p>
    <w:p w:rsidR="009F312A" w:rsidRDefault="009F312A" w:rsidP="009F312A">
      <w:pPr>
        <w:pStyle w:val="ConsPlusNormal"/>
        <w:jc w:val="right"/>
      </w:pPr>
      <w:r>
        <w:t>Республики Марий Эл</w:t>
      </w:r>
    </w:p>
    <w:p w:rsidR="009F312A" w:rsidRDefault="009F312A" w:rsidP="009F312A">
      <w:pPr>
        <w:pStyle w:val="ConsPlusNormal"/>
        <w:jc w:val="right"/>
      </w:pPr>
      <w:r>
        <w:t>"Об исполнении республиканского бюджета</w:t>
      </w:r>
    </w:p>
    <w:p w:rsidR="009F312A" w:rsidRDefault="009F312A" w:rsidP="009F312A">
      <w:pPr>
        <w:pStyle w:val="ConsPlusNormal"/>
        <w:jc w:val="right"/>
      </w:pPr>
      <w:r>
        <w:t>Республики Марий Эл за 2016 год"</w:t>
      </w:r>
    </w:p>
    <w:p w:rsidR="009F312A" w:rsidRDefault="009F312A" w:rsidP="009F312A">
      <w:pPr>
        <w:pStyle w:val="ConsPlusNormal"/>
        <w:jc w:val="right"/>
      </w:pPr>
      <w:r>
        <w:t>от 28 июля 2017 г. N 29-З</w:t>
      </w:r>
    </w:p>
    <w:p w:rsidR="009F312A" w:rsidRDefault="009F312A" w:rsidP="009F312A">
      <w:pPr>
        <w:pStyle w:val="ConsPlusNormal"/>
        <w:jc w:val="both"/>
      </w:pPr>
    </w:p>
    <w:p w:rsidR="009F312A" w:rsidRDefault="009F312A" w:rsidP="009F312A">
      <w:pPr>
        <w:pStyle w:val="ConsPlusTitle"/>
        <w:jc w:val="center"/>
      </w:pPr>
      <w:bookmarkStart w:id="1" w:name="P42"/>
      <w:bookmarkEnd w:id="1"/>
      <w:r>
        <w:t>ДОХОДЫ</w:t>
      </w:r>
    </w:p>
    <w:p w:rsidR="009F312A" w:rsidRDefault="009F312A" w:rsidP="009F312A">
      <w:pPr>
        <w:pStyle w:val="ConsPlusTitle"/>
        <w:jc w:val="center"/>
      </w:pPr>
      <w:r>
        <w:t>РЕСПУБЛИКАНСКОГО БЮДЖЕТА РЕСПУБЛИКИ МАРИЙ ЭЛ ЗА 2016 ГОД</w:t>
      </w:r>
    </w:p>
    <w:p w:rsidR="009F312A" w:rsidRDefault="009F312A" w:rsidP="009F312A">
      <w:pPr>
        <w:pStyle w:val="ConsPlusTitle"/>
        <w:jc w:val="center"/>
      </w:pPr>
      <w:r>
        <w:t>ПО КОДАМ КЛАССИФИКАЦИИ ДОХОДОВ БЮДЖЕТОВ</w:t>
      </w:r>
    </w:p>
    <w:p w:rsidR="009F312A" w:rsidRDefault="009F312A" w:rsidP="009F312A">
      <w:pPr>
        <w:pStyle w:val="ConsPlusNormal"/>
        <w:jc w:val="both"/>
      </w:pPr>
    </w:p>
    <w:p w:rsidR="009F312A" w:rsidRDefault="009F312A" w:rsidP="009F312A">
      <w:pPr>
        <w:pStyle w:val="ConsPlusNonformat"/>
        <w:jc w:val="both"/>
      </w:pPr>
      <w:r>
        <w:t xml:space="preserve">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556"/>
        <w:gridCol w:w="1474"/>
      </w:tblGrid>
      <w:tr w:rsidR="009F312A" w:rsidTr="001D5BAC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Сумма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12 766,9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12 766,9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048 1 12 01010 01 0000 120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1 365,1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048 1 12 01020 01 0000 120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188,3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048 1 12 01030 01 0000 120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1 231,4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048 1 12 01040 01 0000 120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размещение отходов производства и потребления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9 982,1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048 1 12 01050 01 0000 120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иные виды негативного воздействия на окружающую среду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053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ФЕДЕРАЛЬНОЕ АГЕНТСТВО ЛЕСНОГО ХОЗЯЙСТВА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209,3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053 1 00 00000 00 0000 000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209,3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053 1 16 27000 01 0000 140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209,3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096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123,6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096 1 00 00000 00 0000 000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123,6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096 1 08 07130 01 0000 110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государственную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123,6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ФЕДЕРАЛЬНОЕ КАЗНАЧЕЙСТВО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1 408 487,5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100 1 00 00000 00 0000 000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1 408 487,5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100 1 03 02230 01 0000 110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481 504,2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100 1 03 02240 01 0000 110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7 350,0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100 1 03 02250 01 0000 110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990 950,5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100 1 03 02260 01 0000 110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-71 317,2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ПО НАДЗОРУ В СФЕРЕ ТРАНСПОРТА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263,8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106 1 00 00000 00 0000 000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263,8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106 1 16 30020 01 0000 140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106 1 16 90020 02 0000 140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141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872,2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141 1 00 00000 00 0000 000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872,2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141 1 16 90020 02 0000 140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</w:t>
            </w:r>
            <w:r>
              <w:lastRenderedPageBreak/>
              <w:t>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872,2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161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АНТИМОНОПОЛЬНАЯ СЛУЖБА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1 958,5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161 1 00 00000 00 0000 000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1 958,5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161 1 16 26000 01 0000 140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о рекламе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987,4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161 1 16 33020 02 0000 140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971,0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177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2 190,5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177 1 00 00000 00 0000 000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2 190,5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177 1 16 27000 01 0000 140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2 190,5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НАЛОГОВАЯ СЛУЖБА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11 454 442,4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11 454 442,4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182 1 01 01012 02 0000 110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2 992 979,0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182 1 01 01014 02 0000 110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326 904,2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182 1 01 02010 01 0000 110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6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4 979 314,1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182 1 01 02020 01 0000 110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41 654,0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182 1 01 02030 01 0000 110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33 524,2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182 1 01 02040 01 0000 110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0" w:history="1">
              <w:r>
                <w:rPr>
                  <w:color w:val="0000FF"/>
                </w:rPr>
                <w:t>статьей 227.1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3 873,5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182 1 03 02100 01 0000 110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149 300,3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182 1 05 01011 01 0000 110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555 192,9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182 1 05 01012 01 0000 110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264,3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182 1 05 01021 01 0000 110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338 936,3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182 1 05 01022 01 0000 110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182 1 05 01050 01 0000 110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Минимальный налог, зачисляемый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69 768,7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182 1 05 03020 01 0000 110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Единый сельскохозяйственный налог (за налоговые периоды до 1 января 2011 года)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-16,7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182 1 06 02010 02 0000 110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1 368 920,4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182 1 06 02020 02 0000 110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167 912,2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182 1 06 04011 02 0000 110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Транспортный налог с организаций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84 437,7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182 1 06 04012 02 0000 110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Транспортный налог с физических лиц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324 415,7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182 1 06 05000 02 0000 110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игорный бизнес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2 838,5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182 1 07 01020 01 0000 110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добычу общераспространенных полезных ископаемых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11 622,4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182 1 07 04010 01 0000 110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Сбор за пользование объектами животного мира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1 314,0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182 1 07 04020 01 0000 110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182 1 07 04030 01 0000 110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48,9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182 1 08 02020 01 0000 110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по делам, рассматриваемым конституционными (уставными) судами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182 1 08 07010 01 0000 110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791,0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182 1 09 01020 04 0000 110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182 1 09 01030 05 0000 110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182 1 09 03023 01 0000 110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182 1 09 03082 02 0000 110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182 1 09 04010 02 0000 110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имущество предприятий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117,7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182 1 09 04020 02 0000 110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182 1 09 04030 01 0000 110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109,5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182 1 09 04040 01 0000 110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182 1 09 06010 02 0000 110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147,8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182 1 09 11010 02 0000 110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182 1 12 02030 01 0000 120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30,2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182 1 16 03020 02 0000 140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о налогах и сборах, предусмотренные </w:t>
            </w:r>
            <w:hyperlink r:id="rId11" w:history="1">
              <w:r>
                <w:rPr>
                  <w:color w:val="0000FF"/>
                </w:rPr>
                <w:t>статьей 129.2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182 1 16 90020 02 0000 140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ОБОРОНЫ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187 1 00 00000 00 0000 000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187 1 16 30020 01 0000 140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ВНУТРЕННИХ ДЕЛ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179 310,1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188 1 00 00000 00 0000 000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179 310,1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188 1 08 06000 01 0000 110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1 319,8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188 1 08 07100 01 0000 110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2 320,6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188 1 16 21020 02 0000 140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169,5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188 1 16 26000 01 0000 140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о рекламе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33,1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188 1 16 30012 01 0000 140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225,5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188 1 16 30020 01 0000 140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175 210,5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188 1 16 90020 02 0000 140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318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ЮСТИЦИИ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119,20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318 1 00 00000 00 0000 000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119,2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318 1 08 07110 01 0000 110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119,2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59 396,6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321 1 00 00000 00 0000 000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59 396,6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321 1 08 07020 01 0000 110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59 396,6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ФЕДЕРАЛЬНАЯ СЛУЖБА СУДЕБНЫХ ПРИСТАВОВ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322 1 00 00000 00 0000 000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322 1 16 21020 02 0000 140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АДМИНИСТРАЦИЯ ГЛАВЫ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6 650,1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803 1 00 00000 00 0000 000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738,0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803 1 13 02992 02 0000 130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738,0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803 2 00 00000 00 0000 000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5 912,1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803 2 02 04001 02 0000 151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Межбюджетные трансферты, передаваемые бюджетам </w:t>
            </w:r>
            <w:r>
              <w:lastRenderedPageBreak/>
              <w:t>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4 340,1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803 2 02 04002 02 0000 151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1 572,0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ДЕПАРТАМЕНТ ГОСУДАРСТВЕННОГО ЖИЛИЩНОГО НАДЗОРА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804 1 00 00000 00 0000 000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804 1 08 07400 01 0000 110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819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ЮСТИЦИИ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819 1 00 00000 00 0000 000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819 1 13 02992 02 0000 130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819 1 16 90020 02 0000 140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ПРОМЫШЛЕННОСТИ, ТРАНСПОРТА И ДОРОЖНОГО ХОЗЯЙСТВА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552 677,2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17 262,2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820 1 08 07172 01 0000 110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Государственная пошлина за выдачу органом исполнительной власти субъекта Российской Федерации специального разрешения на движение по </w:t>
            </w:r>
            <w:r>
              <w:lastRenderedPageBreak/>
              <w:t>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776,0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820 1 13 01992 02 0000 130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2 005,7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13 206,3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820 1 15 02020 02 0000 140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442,1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832,1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535 415,0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820 2 02 02077 02 0000 151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83 464,5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820 2 02 04095 02 0000 151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451 950,5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ГОСУДАРСТВЕННОЕ СОБРАНИЕ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830 1 00 00000 00 0000 000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830 1 13 02992 02 0000 130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671 403,8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345,7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832 1 08 07400 01 0000 110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215,0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118,3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832 1 16 23021 02 0000 140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671 058,1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832 2 02 02051 02 0000 151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22 276,3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832 2 02 03069 02 0000 151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3" w:history="1">
              <w:r>
                <w:rPr>
                  <w:color w:val="0000FF"/>
                </w:rPr>
                <w:t>Указом</w:t>
              </w:r>
            </w:hyperlink>
            <w:r>
              <w:t xml:space="preserve"> </w:t>
            </w:r>
            <w:r>
              <w:lastRenderedPageBreak/>
              <w:t>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42 193,9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832 2 02 03070 02 0000 151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</w:t>
            </w:r>
            <w:hyperlink r:id="rId14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N </w:t>
            </w:r>
            <w:hyperlink r:id="rId15" w:history="1">
              <w:r>
                <w:rPr>
                  <w:color w:val="0000FF"/>
                </w:rPr>
                <w:t>181-ФЗ</w:t>
              </w:r>
            </w:hyperlink>
            <w:r>
              <w:t xml:space="preserve"> "О социальной защите инвалидов в Российской Федерации"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16 408,7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832 2 03 02030 02 0000 180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-10,7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832 2 03 02040 02 0000 180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590 707,3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832 2 18 02030 02 0000 151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1 708,8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832 2 18 02040 02 0000 151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1 025,5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832 2 19 02000 02 0000 151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-3 251,7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ЭКОНОМИЧЕСКОГО РАЗВИТИЯ И ТОРГОВЛИ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32 088,7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31 788,3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840 1 08 07082 01 0000 110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31 293,8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840 1 16 02030 02 0000 140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257,8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840 1 16 33020 02 0000 140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195,0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зачисляемые в </w:t>
            </w:r>
            <w:r>
              <w:lastRenderedPageBreak/>
              <w:t>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840 2 00 00000 00 0000 000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300,3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840 2 02 02103 02 0000 151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237,0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840 2 18 02030 02 0000 151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ДЕПАРТАМЕНТ ЭКОЛОГИЧЕСКОЙ БЕЗОПАСНОСТИ, ПРИРОДОПОЛЬЗОВАНИЯ И ЗАЩИТЫ НАСЕЛЕНИЯ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46 610,3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25 444,0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848 1 08 07082 01 0000 110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1 544,5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848 1 08 07282 01 0000 110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288,0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848 1 08 07300 01 0000 110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390,6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848 1 12 02012 01 0000 120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7 551,0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848 1 12 02052 01 0000 120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356,6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848 1 12 02102 02 0000 120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52,0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848 1 13 01992 02 0000 130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14 340,5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658,3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848 1 16 25086 02 0000 140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262,5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848 2 00 00000 00 0000 000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21 166,3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848 2 02 02051 02 0000 151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13 637,7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848 2 02 03019 02 0000 151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7 528,6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ДЕПАРТАМЕНТ ТРУДА И ЗАНЯТОСТИ НАСЕЛЕНИЯ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178 118,8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1 322,3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1 318,0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850 1 16 33020 02 0000 140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176 796,5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850 2 02 02046 02 0000 151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823,9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850 2 02 03025 02 0000 151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176 869,3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850 2 18 02060 02 0000 151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53,0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850 2 19 02000 02 0000 151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-949,7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ЛЕСНОГО И ОХОТНИЧЬЕГО ХОЗЯЙСТВА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202 249,3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74 726,0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853 1 12 04014 02 0000 120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59 569,7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853 1 12 04015 02 0000 120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14 750,6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853 1 13 01410 01 0000 130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853 1 13 01992 02 0000 130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853 1 16 90020 02 0000 140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394,3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127 523,3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853 2 02 03018 02 0000 151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127 523,3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ЗДРАВООХРАНЕНИЯ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214 421,9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1 146,7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611,4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535,3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213 275,1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855 2 02 02208 02 0000 151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отдельных мероприятий государственной </w:t>
            </w:r>
            <w:hyperlink r:id="rId1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3 953,8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855 2 02 03128 02 0000 151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 xml:space="preserve">, медицинскими изделиями по рецептам на медицинские изделия, а также специализированными продуктами лечебного питания </w:t>
            </w:r>
            <w:r>
              <w:lastRenderedPageBreak/>
              <w:t>для детей-инвалидов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96 195,6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855 2 02 04017 02 0000 151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48 508,0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855 2 02 04043 02 0000 151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3 000,0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855 2 02 04055 02 0000 151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46 477,5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855 2 02 04062 02 0000 151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t>муковисцидозом</w:t>
            </w:r>
            <w:proofErr w:type="spellEnd"/>
            <w:r>
              <w:t>, гипофизарным нанизмом, болезнью Гоше, рассеянным склерозом, а также после трансплантации органов и (или) тканей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1 759,1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855 2 02 04064 02 0000 151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</w:t>
            </w:r>
            <w:r>
              <w:lastRenderedPageBreak/>
              <w:t>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14 212,5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855 2 02 04066 02 0000 151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B и 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1 516,5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855 2 03 02099 02 0000 180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500,0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855 2 18 02010 02 0000 180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855 2 18 02060 02 0000 151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468,4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855 2 19 02000 02 0000 151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-3 321,0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СОЦИАЛЬНОГО РАЗВИТИЯ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1 196 424,9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1 885,5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856 1 13 02992 02 0000 130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1 693,6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856 1 14 02022 02 0000 410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856 1 14 02022 02 0000 440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856 1 16 23021 02 0000 140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181,6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1 194 539,5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856 2 02 02118 02 0000 151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2 448,0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856 2 02 02172 02 0000 151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298 391,6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856 2 02 02213 02 0000 151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113,2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856 2 02 03001 02 0000 151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403 070,0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856 2 02 03004 02 0000 151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41 302,4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856 2 02 03011 02 0000 151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856 2 02 03012 02 0000 151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85,0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856 2 02 03053 02 0000 151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>
              <w:lastRenderedPageBreak/>
              <w:t>военнослужащего, проходящего военную службу по призыву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7 737,3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856 2 02 03122 02 0000 151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319 788,5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856 2 02 03123 02 0000 151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5 860,5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856 2 02 04118 02 0000 151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114 248,3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856 2 02 04121 02 0000 151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1 668,9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856 2 07 02030 02 0000 180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856 2 19 02000 02 0000 151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Возврат остатков субсидий, субвенций и иных межбюджетных трансфертов, имеющих целевое назначение, прошлых лет из бюджетов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-221,1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КУЛЬТУРЫ, ПЕЧАТИ И ПО ДЕЛАМ НАЦИОНАЛЬНОСТЕЙ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14 480,4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45,8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39,8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14 434,7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857 2 02 02051 02 0000 151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11 074,6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857 2 02 04025 02 0000 151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206,0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857 2 02 04041 02 0000 151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399,0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857 2 02 04050 02 0000 151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в целях финансового обеспечения расходов по выплате премий в области литературы и искусства, образования, печатных средств </w:t>
            </w:r>
            <w:r>
              <w:lastRenderedPageBreak/>
              <w:t>массовой информации, науки и техники и иные поощрения за особые заслуги перед государством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87,7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857 2 02 04052 02 0000 151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800,0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857 2 02 04053 02 0000 151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857 2 02 04090 02 0000 151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2 700,0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857 2 02 04120 02 0000 151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318,2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857 2 19 02000 02 0000 151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-1 400,8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865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КОМИТЕТ РЕСПУБЛИКИ МАРИЙ ЭЛ ПО ТУРИЗМУ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865 1 00 00000 00 0000 000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865 1 13 02992 02 0000 130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21,2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ГОСУДАРСТВЕННОГО ИМУЩЕСТВА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101 074,9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101 074,9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866 1 08 07082 01 0000 110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866 1 11 01020 02 0000 120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381,6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866 1 11 05022 02 0000 120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52 465,0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866 1 11 05026 04 0000 120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</w:t>
            </w:r>
            <w:r>
              <w:lastRenderedPageBreak/>
              <w:t>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139,9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866 1 11 05026 10 0000 120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866 1 11 05032 02 0000 120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5 577,2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866 1 11 05072 02 0000 120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2 267,9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866 1 11 05322 02 0000 120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866 1 11 07012 02 0000 120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Доходы от перечисления части прибыли, остающейся после уплаты налогов и иных обязательных платежей </w:t>
            </w:r>
            <w:r>
              <w:lastRenderedPageBreak/>
              <w:t>государственных унитарных предприятий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833,4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866 1 11 09042 02 0000 120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1 309,4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866 1 14 02022 02 0000 410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64,8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866 1 14 02023 02 0000 410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11 391,3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866 1 14 06022 02 0000 430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25 833,4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866 1 14 06322 02 0000 430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Плата за увеличение площади земельных участков, </w:t>
            </w:r>
            <w: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36,8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866 1 16 90020 02 0000 140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767,0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СПОРТА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-12 142,6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669,6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409,4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867 1 16 33020 02 0000 140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260,2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-12 812,2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867 2 02 02133 02 0000 151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6 529,8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867 2 02 02207 02 0000 151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</w:t>
            </w:r>
            <w:hyperlink r:id="rId1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233,3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867 2 02 02220 02 0000 151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r>
              <w:lastRenderedPageBreak/>
              <w:t>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872,1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867 2 19 02000 02 0000 151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-20 447,4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ОБРАЗОВАНИЯ И НАУКИ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185 155,9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874 1 00 00000 00 0000 000</w:t>
            </w:r>
          </w:p>
          <w:p w:rsidR="009F312A" w:rsidRDefault="009F312A" w:rsidP="001D5BAC">
            <w:pPr>
              <w:pStyle w:val="ConsPlusNormal"/>
            </w:pPr>
          </w:p>
          <w:p w:rsidR="009F312A" w:rsidRDefault="009F312A" w:rsidP="001D5BAC">
            <w:pPr>
              <w:pStyle w:val="ConsPlusNormal"/>
            </w:pPr>
            <w:r>
              <w:t>874 1 08 07082 01 0000 110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 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1 643,3</w:t>
            </w:r>
          </w:p>
          <w:p w:rsidR="009F312A" w:rsidRDefault="009F312A" w:rsidP="001D5BAC">
            <w:pPr>
              <w:pStyle w:val="ConsPlusNormal"/>
            </w:pPr>
          </w:p>
          <w:p w:rsidR="009F312A" w:rsidRDefault="009F312A" w:rsidP="001D5BAC">
            <w:pPr>
              <w:pStyle w:val="ConsPlusNormal"/>
              <w:jc w:val="center"/>
            </w:pPr>
            <w:r>
              <w:t>483,1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874 1 08 07380 01 0000 110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827,5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874 1 08 07390 01 0000 110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155,5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177,2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874 2 00 00000 00 0000 000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183 512,6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874 2 02 02067 02 0000 151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1 000,0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874 2 02 02173 02 0000 151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35 630,7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874 2 02 02278 02 0000 151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молодежного предпринимательства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2 151,0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874 2 02 02284 02 0000 151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148 473,3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874 2 02 03020 02 0000 151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3 845,5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874 2 02 04042 02 0000 151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580,0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874 2 18 02030 02 0000 151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722,9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874 2 19 02000 02 0000 151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-8 890,8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КОМИТЕТ ВЕТЕРИНАРИИ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881 1 00 00000 00 0000 000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881 1 13 02992 02 0000 130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СЕЛЬСКОГО ХОЗЯЙСТВА И ПРОДОВОЛЬСТВИЯ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1 343 483,6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9 894,0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882 1 08 07142 01 0000 110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</w:t>
            </w:r>
            <w:r>
              <w:lastRenderedPageBreak/>
              <w:t>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7 369,5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882 1 13 02992 02 0000 130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2 519,7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882 1 15 02020 02 0000 140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1 333 589,6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882 2 02 02051 02 0000 151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6 365,8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882 2 02 02077 02 0000 151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12 832,0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882 2 02 02174 02 0000 151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3 830,1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882 2 02 02177 02 0000 151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121,1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882 2 02 02181 02 0000 151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2 538,9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882 2 02 02182 02 0000 151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развитие </w:t>
            </w:r>
            <w:r>
              <w:lastRenderedPageBreak/>
              <w:t>инфраструктуры и логистического обеспечения рынков продукции растениеводства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16 158,0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882 2 02 02184 02 0000 151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72 804,3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882 2 02 02185 02 0000 151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3 736,1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882 2 02 02186 02 0000 151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1 килограмм реализованного и (или) отгруженного на собственную переработку молока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93 808,8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882 2 02 02190 02 0000 151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34 573,1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882 2 02 02191 02 0000 151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развитие инфраструктуры и логистического обеспечения рынков продукции животноводства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968 164,2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882 2 02 02196 02 0000 151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26 866,0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882 2 02 02197 02 0000 151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15 248,0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882 2 02 02198 02 0000 151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</w:t>
            </w:r>
            <w:r>
              <w:lastRenderedPageBreak/>
              <w:t>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5 215,3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882 2 02 02245 02 0000 151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1 350,0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882 2 02 02249 02 0000 151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14 417,6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882 2 02 02250 02 0000 151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3 709,2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882 2 02 02253 02 0000 151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переработку продукции растениеводства и животноводства в области развития оптово-распределительных центров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8 082,1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882 2 02 02258 02 0000 151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племенного крупного рогатого скота молочного направления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32 737,3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882 2 02 03121 02 0000 151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проведение Всероссийской сельскохозяйственной переписи в 2016 году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12 328,8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882 2 18 02040 02 0000 151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</w:t>
            </w:r>
            <w:r>
              <w:lastRenderedPageBreak/>
              <w:t>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91,1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882 2 19 02000 02 0000 151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-1 388,1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МИНИСТЕРСТВО ФИНАНСОВ РЕСПУБЛИКИ МАРИЙ ЭЛ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5 641 525,5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5 923,7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892 1 11 03020 02 0000 120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1 379,2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892 1 13 02992 02 0000 130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256,1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892 1 16 18020 02 0000 140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4 037,3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892 1 16 90020 02 0000 140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251,0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892 1 17 05020 02 0000 180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0,1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5 635 601,8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892 2 02 01001 02 0000 151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4 595 468,8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892 2 02 01003 02 0000 151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890 778,8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892 2 02 02009 02 0000 151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46 103,9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892 2 02 02077 02 0000 151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8 494,3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892 2 02 02086 02 0000 151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31 813,5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892 2 02 03007 02 0000 151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1 016,0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892 2 02 03015 02 0000 151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13 482,6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892 2 02 03998 02 0000 151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Единая субвенция бюджетам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48 449,3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892 2 18 02030 02 0000 151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субсидий, субвенций и иных </w:t>
            </w:r>
            <w:r>
              <w:lastRenderedPageBreak/>
              <w:t>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lastRenderedPageBreak/>
              <w:t>151,7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lastRenderedPageBreak/>
              <w:t>892 2 19 02000 02 0000 151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-157,1</w:t>
            </w:r>
          </w:p>
        </w:tc>
      </w:tr>
      <w:tr w:rsidR="009F312A" w:rsidTr="001D5B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  <w:r>
              <w:t>Всего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F312A" w:rsidRDefault="009F312A" w:rsidP="001D5BAC">
            <w:pPr>
              <w:pStyle w:val="ConsPlusNormal"/>
              <w:jc w:val="center"/>
            </w:pPr>
            <w:r>
              <w:t>23 494 550,9</w:t>
            </w:r>
          </w:p>
        </w:tc>
      </w:tr>
    </w:tbl>
    <w:p w:rsidR="00274113" w:rsidRDefault="00274113" w:rsidP="009F312A"/>
    <w:sectPr w:rsidR="00274113" w:rsidSect="009F3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A"/>
    <w:rsid w:val="00274113"/>
    <w:rsid w:val="009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3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3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3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31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3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3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3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31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F31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842021BE35FB689CDE820B7FFC2A518F2A78942886F8409D41A826A549279E7F8CC7BA35841o0I" TargetMode="External"/><Relationship Id="rId13" Type="http://schemas.openxmlformats.org/officeDocument/2006/relationships/hyperlink" Target="consultantplus://offline/ref=11F842021BE35FB689CDE820B7FFC2A513F5AF8D4780328E018D168046oD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842021BE35FB689CDE820B7FFC2A518F2A78942886F8409D41A826A549279E7F8CC79A3581D4A43oAI" TargetMode="External"/><Relationship Id="rId12" Type="http://schemas.openxmlformats.org/officeDocument/2006/relationships/hyperlink" Target="consultantplus://offline/ref=11F842021BE35FB689CDE820B7FFC2A518F0A48A448B6F8409D41A826A45o4I" TargetMode="External"/><Relationship Id="rId17" Type="http://schemas.openxmlformats.org/officeDocument/2006/relationships/hyperlink" Target="consultantplus://offline/ref=11F842021BE35FB689CDE820B7FFC2A518F2A683428A6F8409D41A826A549279E7F8CC79A359194243o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842021BE35FB689CDE820B7FFC2A518F2A482448E6F8409D41A826A549279E7F8CC79A25F184643o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842021BE35FB689CDE820B7FFC2A518F2A78942886F8409D41A826A549279E7F8CC79A3511E44o4I" TargetMode="External"/><Relationship Id="rId11" Type="http://schemas.openxmlformats.org/officeDocument/2006/relationships/hyperlink" Target="consultantplus://offline/ref=11F842021BE35FB689CDE820B7FFC2A518F2A689438D6F8409D41A826A549279E7F8CC71A345o0I" TargetMode="External"/><Relationship Id="rId5" Type="http://schemas.openxmlformats.org/officeDocument/2006/relationships/hyperlink" Target="consultantplus://offline/ref=11F842021BE35FB689CDE820B7FFC2A518F2A78942886F8409D41A826A549279E7F8CC7BA35841o0I" TargetMode="External"/><Relationship Id="rId15" Type="http://schemas.openxmlformats.org/officeDocument/2006/relationships/hyperlink" Target="consultantplus://offline/ref=11F842021BE35FB689CDE820B7FFC2A518F1A18C46826F8409D41A826A45o4I" TargetMode="External"/><Relationship Id="rId10" Type="http://schemas.openxmlformats.org/officeDocument/2006/relationships/hyperlink" Target="consultantplus://offline/ref=11F842021BE35FB689CDE820B7FFC2A518F2A78942886F8409D41A826A549279E7F8CC79A3511E44o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842021BE35FB689CDE820B7FFC2A518F2A78942886F8409D41A826A549279E7F8CC79A3581D4A43oAI" TargetMode="External"/><Relationship Id="rId14" Type="http://schemas.openxmlformats.org/officeDocument/2006/relationships/hyperlink" Target="consultantplus://offline/ref=11F842021BE35FB689CDE820B7FFC2A518F0A48A448B6F8409D41A826A45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8446</Words>
  <Characters>48145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2017-09-06T08:43:00Z</dcterms:created>
  <dcterms:modified xsi:type="dcterms:W3CDTF">2017-09-06T08:43:00Z</dcterms:modified>
</cp:coreProperties>
</file>