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F70FA" w:rsidRDefault="0065020B">
      <w:pPr>
        <w:pStyle w:val="1"/>
        <w:rPr>
          <w:rFonts w:ascii="Times New Roman" w:hAnsi="Times New Roman" w:cs="Times New Roman"/>
          <w:color w:val="auto"/>
        </w:rPr>
      </w:pPr>
      <w:bookmarkStart w:id="0" w:name="sub_1000"/>
      <w:bookmarkStart w:id="1" w:name="_GoBack"/>
      <w:bookmarkEnd w:id="1"/>
      <w:r w:rsidRPr="001F70FA">
        <w:rPr>
          <w:rFonts w:ascii="Times New Roman" w:hAnsi="Times New Roman" w:cs="Times New Roman"/>
          <w:color w:val="auto"/>
        </w:rPr>
        <w:t>Основные направления</w:t>
      </w:r>
      <w:r w:rsidRPr="001F70FA">
        <w:rPr>
          <w:rFonts w:ascii="Times New Roman" w:hAnsi="Times New Roman" w:cs="Times New Roman"/>
          <w:color w:val="auto"/>
        </w:rPr>
        <w:br/>
        <w:t>налоговой политики Республики Мордовия на 2016 год и на плановый период 2017 и 2018 годов</w:t>
      </w:r>
      <w:r w:rsidRPr="001F70FA">
        <w:rPr>
          <w:rFonts w:ascii="Times New Roman" w:hAnsi="Times New Roman" w:cs="Times New Roman"/>
          <w:color w:val="auto"/>
        </w:rPr>
        <w:br/>
        <w:t xml:space="preserve">(утв. </w:t>
      </w:r>
      <w:r w:rsidRPr="001F70FA">
        <w:rPr>
          <w:rStyle w:val="a4"/>
          <w:rFonts w:ascii="Times New Roman" w:hAnsi="Times New Roman" w:cs="Times New Roman"/>
          <w:bCs w:val="0"/>
          <w:color w:val="auto"/>
        </w:rPr>
        <w:t>указом</w:t>
      </w:r>
      <w:r w:rsidRPr="001F70FA">
        <w:rPr>
          <w:rFonts w:ascii="Times New Roman" w:hAnsi="Times New Roman" w:cs="Times New Roman"/>
          <w:color w:val="auto"/>
        </w:rPr>
        <w:t xml:space="preserve"> Главы Р</w:t>
      </w:r>
      <w:r w:rsidRPr="001F70FA">
        <w:rPr>
          <w:rFonts w:ascii="Times New Roman" w:hAnsi="Times New Roman" w:cs="Times New Roman"/>
          <w:color w:val="auto"/>
        </w:rPr>
        <w:t>еспублики Мордовия от 4 сентября 2015 г. N 311-УГ)</w:t>
      </w:r>
    </w:p>
    <w:bookmarkEnd w:id="0"/>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r w:rsidRPr="001F70FA">
        <w:rPr>
          <w:rFonts w:ascii="Times New Roman" w:hAnsi="Times New Roman" w:cs="Times New Roman"/>
        </w:rPr>
        <w:t xml:space="preserve">Основные направления налоговой политики Республики Мордовия на 2016 год и на плановый период 2017 и 2018 годов (далее - Основные направления налоговой политики) разработаны в соответствии с </w:t>
      </w:r>
      <w:hyperlink r:id="rId6" w:history="1">
        <w:r w:rsidRPr="001F70FA">
          <w:rPr>
            <w:rStyle w:val="a4"/>
            <w:rFonts w:ascii="Times New Roman" w:hAnsi="Times New Roman" w:cs="Times New Roman"/>
            <w:color w:val="auto"/>
          </w:rPr>
          <w:t>бюджетным законодательством</w:t>
        </w:r>
      </w:hyperlink>
      <w:r w:rsidRPr="001F70FA">
        <w:rPr>
          <w:rFonts w:ascii="Times New Roman" w:hAnsi="Times New Roman" w:cs="Times New Roman"/>
        </w:rPr>
        <w:t xml:space="preserve"> Российской Федерации.</w:t>
      </w:r>
    </w:p>
    <w:p w:rsidR="00000000" w:rsidRPr="001F70FA" w:rsidRDefault="0065020B">
      <w:pPr>
        <w:rPr>
          <w:rFonts w:ascii="Times New Roman" w:hAnsi="Times New Roman" w:cs="Times New Roman"/>
        </w:rPr>
      </w:pPr>
      <w:r w:rsidRPr="001F70FA">
        <w:rPr>
          <w:rFonts w:ascii="Times New Roman" w:hAnsi="Times New Roman" w:cs="Times New Roman"/>
        </w:rPr>
        <w:t xml:space="preserve">При подготовке Основных направлений налоговой политики были учтены положения </w:t>
      </w:r>
      <w:hyperlink r:id="rId7" w:history="1">
        <w:r w:rsidRPr="001F70FA">
          <w:rPr>
            <w:rStyle w:val="a4"/>
            <w:rFonts w:ascii="Times New Roman" w:hAnsi="Times New Roman" w:cs="Times New Roman"/>
            <w:color w:val="auto"/>
          </w:rPr>
          <w:t>Основных направлений</w:t>
        </w:r>
      </w:hyperlink>
      <w:r w:rsidRPr="001F70FA">
        <w:rPr>
          <w:rFonts w:ascii="Times New Roman" w:hAnsi="Times New Roman" w:cs="Times New Roman"/>
        </w:rPr>
        <w:t xml:space="preserve"> налоговой политики Российской Федерации на</w:t>
      </w:r>
      <w:r w:rsidRPr="001F70FA">
        <w:rPr>
          <w:rFonts w:ascii="Times New Roman" w:hAnsi="Times New Roman" w:cs="Times New Roman"/>
        </w:rPr>
        <w:t xml:space="preserve"> 2016 год и на плановый период 2017 и 2018 годов, Сценарных условий функционирования экономики Республики Мордовия в 2016 году и плановом периоде 2017 и 2018 годов.</w:t>
      </w:r>
    </w:p>
    <w:p w:rsidR="00000000" w:rsidRPr="001F70FA" w:rsidRDefault="0065020B">
      <w:pPr>
        <w:rPr>
          <w:rFonts w:ascii="Times New Roman" w:hAnsi="Times New Roman" w:cs="Times New Roman"/>
        </w:rPr>
      </w:pPr>
      <w:r w:rsidRPr="001F70FA">
        <w:rPr>
          <w:rFonts w:ascii="Times New Roman" w:hAnsi="Times New Roman" w:cs="Times New Roman"/>
        </w:rPr>
        <w:t xml:space="preserve">Основные направления налоговой </w:t>
      </w:r>
      <w:proofErr w:type="gramStart"/>
      <w:r w:rsidRPr="001F70FA">
        <w:rPr>
          <w:rFonts w:ascii="Times New Roman" w:hAnsi="Times New Roman" w:cs="Times New Roman"/>
        </w:rPr>
        <w:t>политики подготовлены с целью составления проекта закона Рес</w:t>
      </w:r>
      <w:r w:rsidRPr="001F70FA">
        <w:rPr>
          <w:rFonts w:ascii="Times New Roman" w:hAnsi="Times New Roman" w:cs="Times New Roman"/>
        </w:rPr>
        <w:t>публики</w:t>
      </w:r>
      <w:proofErr w:type="gramEnd"/>
      <w:r w:rsidRPr="001F70FA">
        <w:rPr>
          <w:rFonts w:ascii="Times New Roman" w:hAnsi="Times New Roman" w:cs="Times New Roman"/>
        </w:rPr>
        <w:t xml:space="preserve"> Мордовия "О республиканском бюджете Республики Мордовия на 2016 год и на плановый период 2017 и 2018 годов". Материалы Основных направлений налоговой политики необходимо учитывать как при планировании республиканского бюджета Республики Мордовия, т</w:t>
      </w:r>
      <w:r w:rsidRPr="001F70FA">
        <w:rPr>
          <w:rFonts w:ascii="Times New Roman" w:hAnsi="Times New Roman" w:cs="Times New Roman"/>
        </w:rPr>
        <w:t>ак и при подготовке проектов бюджетов муниципальных образований.</w:t>
      </w:r>
    </w:p>
    <w:p w:rsidR="00000000" w:rsidRPr="001F70FA" w:rsidRDefault="0065020B">
      <w:pPr>
        <w:rPr>
          <w:rFonts w:ascii="Times New Roman" w:hAnsi="Times New Roman" w:cs="Times New Roman"/>
        </w:rPr>
      </w:pPr>
      <w:r w:rsidRPr="001F70FA">
        <w:rPr>
          <w:rFonts w:ascii="Times New Roman" w:hAnsi="Times New Roman" w:cs="Times New Roman"/>
        </w:rPr>
        <w:t>Налоговая политика Республики Мордовия в 2016 году и в плановом периоде 2017 и 2018 годов будет направлена на обеспечение поступления в консолидированный бюджет Республики Мордовия всех доход</w:t>
      </w:r>
      <w:r w:rsidRPr="001F70FA">
        <w:rPr>
          <w:rFonts w:ascii="Times New Roman" w:hAnsi="Times New Roman" w:cs="Times New Roman"/>
        </w:rPr>
        <w:t>ных источников в запланированных объемах, а также дополнительных доходов, в том числе за счет повышения качества их администрирования.</w:t>
      </w:r>
    </w:p>
    <w:p w:rsidR="00000000" w:rsidRPr="001F70FA" w:rsidRDefault="0065020B">
      <w:pPr>
        <w:rPr>
          <w:rFonts w:ascii="Times New Roman" w:hAnsi="Times New Roman" w:cs="Times New Roman"/>
        </w:rPr>
      </w:pPr>
      <w:r w:rsidRPr="001F70FA">
        <w:rPr>
          <w:rFonts w:ascii="Times New Roman" w:hAnsi="Times New Roman" w:cs="Times New Roman"/>
        </w:rPr>
        <w:t xml:space="preserve">Налоговая политика будет ориентирована на реализацию изменений </w:t>
      </w:r>
      <w:hyperlink r:id="rId8" w:history="1">
        <w:r w:rsidRPr="001F70FA">
          <w:rPr>
            <w:rStyle w:val="a4"/>
            <w:rFonts w:ascii="Times New Roman" w:hAnsi="Times New Roman" w:cs="Times New Roman"/>
            <w:color w:val="auto"/>
          </w:rPr>
          <w:t>налогового законодательст</w:t>
        </w:r>
        <w:r w:rsidRPr="001F70FA">
          <w:rPr>
            <w:rStyle w:val="a4"/>
            <w:rFonts w:ascii="Times New Roman" w:hAnsi="Times New Roman" w:cs="Times New Roman"/>
            <w:color w:val="auto"/>
          </w:rPr>
          <w:t>ва</w:t>
        </w:r>
      </w:hyperlink>
      <w:r w:rsidRPr="001F70FA">
        <w:rPr>
          <w:rFonts w:ascii="Times New Roman" w:hAnsi="Times New Roman" w:cs="Times New Roman"/>
        </w:rPr>
        <w:t xml:space="preserve"> и нацелена на увеличение уровня собираемости налоговых доходов.</w:t>
      </w:r>
    </w:p>
    <w:p w:rsidR="00000000" w:rsidRPr="001F70FA" w:rsidRDefault="0065020B">
      <w:pPr>
        <w:rPr>
          <w:rFonts w:ascii="Times New Roman" w:hAnsi="Times New Roman" w:cs="Times New Roman"/>
        </w:rPr>
      </w:pPr>
      <w:r w:rsidRPr="001F70FA">
        <w:rPr>
          <w:rFonts w:ascii="Times New Roman" w:hAnsi="Times New Roman" w:cs="Times New Roman"/>
        </w:rPr>
        <w:t>Увеличению поступления доходов в бюджет Республики Мордовия должно способствовать осуществление следующих мер:</w:t>
      </w:r>
    </w:p>
    <w:p w:rsidR="00000000" w:rsidRPr="001F70FA" w:rsidRDefault="0065020B">
      <w:pPr>
        <w:rPr>
          <w:rFonts w:ascii="Times New Roman" w:hAnsi="Times New Roman" w:cs="Times New Roman"/>
        </w:rPr>
      </w:pPr>
      <w:r w:rsidRPr="001F70FA">
        <w:rPr>
          <w:rFonts w:ascii="Times New Roman" w:hAnsi="Times New Roman" w:cs="Times New Roman"/>
        </w:rPr>
        <w:t>1) обеспечение поступления в консолидированный бюджет Республики Мордовия в</w:t>
      </w:r>
      <w:r w:rsidRPr="001F70FA">
        <w:rPr>
          <w:rFonts w:ascii="Times New Roman" w:hAnsi="Times New Roman" w:cs="Times New Roman"/>
        </w:rPr>
        <w:t>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000000" w:rsidRPr="001F70FA" w:rsidRDefault="0065020B">
      <w:pPr>
        <w:rPr>
          <w:rFonts w:ascii="Times New Roman" w:hAnsi="Times New Roman" w:cs="Times New Roman"/>
        </w:rPr>
      </w:pPr>
      <w:r w:rsidRPr="001F70FA">
        <w:rPr>
          <w:rFonts w:ascii="Times New Roman" w:hAnsi="Times New Roman" w:cs="Times New Roman"/>
        </w:rPr>
        <w:t>2) совершенствование контрольной работы в отношении организаций, снижающих</w:t>
      </w:r>
      <w:r w:rsidRPr="001F70FA">
        <w:rPr>
          <w:rFonts w:ascii="Times New Roman" w:hAnsi="Times New Roman" w:cs="Times New Roman"/>
        </w:rPr>
        <w:t xml:space="preserve"> налогооблагаемую базу, имеющих недоимку по налогам, а также выплачивающих заработную плату с нарушением </w:t>
      </w:r>
      <w:hyperlink r:id="rId9" w:history="1">
        <w:r w:rsidRPr="001F70FA">
          <w:rPr>
            <w:rStyle w:val="a4"/>
            <w:rFonts w:ascii="Times New Roman" w:hAnsi="Times New Roman" w:cs="Times New Roman"/>
            <w:color w:val="auto"/>
          </w:rPr>
          <w:t>трудового</w:t>
        </w:r>
      </w:hyperlink>
      <w:r w:rsidRPr="001F70FA">
        <w:rPr>
          <w:rFonts w:ascii="Times New Roman" w:hAnsi="Times New Roman" w:cs="Times New Roman"/>
        </w:rPr>
        <w:t xml:space="preserve"> и </w:t>
      </w:r>
      <w:hyperlink r:id="rId10" w:history="1">
        <w:r w:rsidRPr="001F70FA">
          <w:rPr>
            <w:rStyle w:val="a4"/>
            <w:rFonts w:ascii="Times New Roman" w:hAnsi="Times New Roman" w:cs="Times New Roman"/>
            <w:color w:val="auto"/>
          </w:rPr>
          <w:t>налогового законодательства</w:t>
        </w:r>
      </w:hyperlink>
      <w:r w:rsidRPr="001F70FA">
        <w:rPr>
          <w:rFonts w:ascii="Times New Roman" w:hAnsi="Times New Roman" w:cs="Times New Roman"/>
        </w:rPr>
        <w:t>;</w:t>
      </w:r>
    </w:p>
    <w:p w:rsidR="00000000" w:rsidRPr="001F70FA" w:rsidRDefault="0065020B">
      <w:pPr>
        <w:rPr>
          <w:rFonts w:ascii="Times New Roman" w:hAnsi="Times New Roman" w:cs="Times New Roman"/>
        </w:rPr>
      </w:pPr>
      <w:r w:rsidRPr="001F70FA">
        <w:rPr>
          <w:rFonts w:ascii="Times New Roman" w:hAnsi="Times New Roman" w:cs="Times New Roman"/>
        </w:rPr>
        <w:t>3) повышение эффективности управления государственной и муниципальной собственностью, увеличение поступлений доходов в консолидированный бюджет Республики Мордовия и бюджеты муниципальных образований от их использования;</w:t>
      </w:r>
    </w:p>
    <w:p w:rsidR="00000000" w:rsidRPr="001F70FA" w:rsidRDefault="0065020B">
      <w:pPr>
        <w:rPr>
          <w:rFonts w:ascii="Times New Roman" w:hAnsi="Times New Roman" w:cs="Times New Roman"/>
        </w:rPr>
      </w:pPr>
      <w:r w:rsidRPr="001F70FA">
        <w:rPr>
          <w:rFonts w:ascii="Times New Roman" w:hAnsi="Times New Roman" w:cs="Times New Roman"/>
        </w:rPr>
        <w:t>4) продолжение проведения на террит</w:t>
      </w:r>
      <w:r w:rsidRPr="001F70FA">
        <w:rPr>
          <w:rFonts w:ascii="Times New Roman" w:hAnsi="Times New Roman" w:cs="Times New Roman"/>
        </w:rPr>
        <w:t>ории Республики Мордовия инвентаризации недвижимого имущества;</w:t>
      </w:r>
    </w:p>
    <w:p w:rsidR="00000000" w:rsidRPr="001F70FA" w:rsidRDefault="0065020B">
      <w:pPr>
        <w:rPr>
          <w:rFonts w:ascii="Times New Roman" w:hAnsi="Times New Roman" w:cs="Times New Roman"/>
        </w:rPr>
      </w:pPr>
      <w:r w:rsidRPr="001F70FA">
        <w:rPr>
          <w:rFonts w:ascii="Times New Roman" w:hAnsi="Times New Roman" w:cs="Times New Roman"/>
        </w:rPr>
        <w:t>5) обеспечение обоснованности и эффективности установления законодательством Республики Мордовия налоговых льгот, оптимизация установленных налоговых льгот;</w:t>
      </w:r>
    </w:p>
    <w:p w:rsidR="00000000" w:rsidRPr="001F70FA" w:rsidRDefault="0065020B">
      <w:pPr>
        <w:rPr>
          <w:rFonts w:ascii="Times New Roman" w:hAnsi="Times New Roman" w:cs="Times New Roman"/>
        </w:rPr>
      </w:pPr>
      <w:r w:rsidRPr="001F70FA">
        <w:rPr>
          <w:rFonts w:ascii="Times New Roman" w:hAnsi="Times New Roman" w:cs="Times New Roman"/>
        </w:rPr>
        <w:t>6) дальнейшее осуществление мероприя</w:t>
      </w:r>
      <w:r w:rsidRPr="001F70FA">
        <w:rPr>
          <w:rFonts w:ascii="Times New Roman" w:hAnsi="Times New Roman" w:cs="Times New Roman"/>
        </w:rPr>
        <w:t>тий по легализации "теневой" заработной платы в Республике Мордовия;</w:t>
      </w:r>
    </w:p>
    <w:p w:rsidR="00000000" w:rsidRPr="001F70FA" w:rsidRDefault="0065020B">
      <w:pPr>
        <w:rPr>
          <w:rFonts w:ascii="Times New Roman" w:hAnsi="Times New Roman" w:cs="Times New Roman"/>
        </w:rPr>
      </w:pPr>
      <w:r w:rsidRPr="001F70FA">
        <w:rPr>
          <w:rFonts w:ascii="Times New Roman" w:hAnsi="Times New Roman" w:cs="Times New Roman"/>
        </w:rPr>
        <w:t>7) увеличение налогового потенциала Республики Мордовия за счет стимулирования деловой активности в республике, привлечения инвестиций, реализации высокоэффективных инвестиционных проекто</w:t>
      </w:r>
      <w:r w:rsidRPr="001F70FA">
        <w:rPr>
          <w:rFonts w:ascii="Times New Roman" w:hAnsi="Times New Roman" w:cs="Times New Roman"/>
        </w:rPr>
        <w:t>в;</w:t>
      </w:r>
    </w:p>
    <w:p w:rsidR="00000000" w:rsidRPr="001F70FA" w:rsidRDefault="0065020B">
      <w:pPr>
        <w:rPr>
          <w:rFonts w:ascii="Times New Roman" w:hAnsi="Times New Roman" w:cs="Times New Roman"/>
        </w:rPr>
      </w:pPr>
      <w:r w:rsidRPr="001F70FA">
        <w:rPr>
          <w:rFonts w:ascii="Times New Roman" w:hAnsi="Times New Roman" w:cs="Times New Roman"/>
        </w:rPr>
        <w:t>8) стимулирование развития малого и среднего предпринимательства на территории Республики Мордовия.</w:t>
      </w:r>
    </w:p>
    <w:p w:rsidR="00000000" w:rsidRPr="001F70FA" w:rsidRDefault="0065020B">
      <w:pPr>
        <w:rPr>
          <w:rFonts w:ascii="Times New Roman" w:hAnsi="Times New Roman" w:cs="Times New Roman"/>
        </w:rPr>
      </w:pPr>
    </w:p>
    <w:p w:rsidR="00000000" w:rsidRPr="001F70FA" w:rsidRDefault="0065020B">
      <w:pPr>
        <w:pStyle w:val="1"/>
        <w:rPr>
          <w:rFonts w:ascii="Times New Roman" w:hAnsi="Times New Roman" w:cs="Times New Roman"/>
          <w:color w:val="auto"/>
        </w:rPr>
      </w:pPr>
      <w:bookmarkStart w:id="2" w:name="sub_100"/>
      <w:r w:rsidRPr="001F70FA">
        <w:rPr>
          <w:rFonts w:ascii="Times New Roman" w:hAnsi="Times New Roman" w:cs="Times New Roman"/>
          <w:color w:val="auto"/>
        </w:rPr>
        <w:t>Основные итоги реализации налоговой политики в 2014 году</w:t>
      </w:r>
    </w:p>
    <w:bookmarkEnd w:id="2"/>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r w:rsidRPr="001F70FA">
        <w:rPr>
          <w:rFonts w:ascii="Times New Roman" w:hAnsi="Times New Roman" w:cs="Times New Roman"/>
        </w:rPr>
        <w:lastRenderedPageBreak/>
        <w:t>Поступление налоговых и неналоговых доходов в консолидированный бюджет Республик</w:t>
      </w:r>
      <w:r w:rsidRPr="001F70FA">
        <w:rPr>
          <w:rFonts w:ascii="Times New Roman" w:hAnsi="Times New Roman" w:cs="Times New Roman"/>
        </w:rPr>
        <w:t>и Мордовия в 2013 - 2014 годах характеризуется следующим образом:</w:t>
      </w:r>
    </w:p>
    <w:p w:rsidR="00000000" w:rsidRPr="001F70FA" w:rsidRDefault="006502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1260"/>
        <w:gridCol w:w="980"/>
        <w:gridCol w:w="1260"/>
        <w:gridCol w:w="1260"/>
        <w:gridCol w:w="980"/>
        <w:gridCol w:w="840"/>
        <w:gridCol w:w="1260"/>
      </w:tblGrid>
      <w:tr w:rsidR="001F70FA" w:rsidRPr="001F70FA">
        <w:tblPrEx>
          <w:tblCellMar>
            <w:top w:w="0" w:type="dxa"/>
            <w:bottom w:w="0" w:type="dxa"/>
          </w:tblCellMar>
        </w:tblPrEx>
        <w:tc>
          <w:tcPr>
            <w:tcW w:w="238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126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98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126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126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980"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2100" w:type="dxa"/>
            <w:gridSpan w:val="2"/>
            <w:tcBorders>
              <w:top w:val="nil"/>
              <w:left w:val="nil"/>
              <w:bottom w:val="single" w:sz="4" w:space="0" w:color="auto"/>
              <w:right w:val="nil"/>
            </w:tcBorders>
          </w:tcPr>
          <w:p w:rsidR="00000000" w:rsidRPr="001F70FA" w:rsidRDefault="0065020B">
            <w:pPr>
              <w:pStyle w:val="aff7"/>
              <w:jc w:val="right"/>
              <w:rPr>
                <w:rFonts w:ascii="Times New Roman" w:hAnsi="Times New Roman" w:cs="Times New Roman"/>
              </w:rPr>
            </w:pPr>
            <w:r w:rsidRPr="001F70FA">
              <w:rPr>
                <w:rFonts w:ascii="Times New Roman" w:hAnsi="Times New Roman" w:cs="Times New Roman"/>
              </w:rPr>
              <w:t>(млн. рублей)</w:t>
            </w:r>
          </w:p>
        </w:tc>
      </w:tr>
      <w:tr w:rsidR="001F70FA" w:rsidRPr="001F70FA">
        <w:tblPrEx>
          <w:tblCellMar>
            <w:top w:w="0" w:type="dxa"/>
            <w:bottom w:w="0" w:type="dxa"/>
          </w:tblCellMar>
        </w:tblPrEx>
        <w:tc>
          <w:tcPr>
            <w:tcW w:w="2380" w:type="dxa"/>
            <w:vMerge w:val="restart"/>
            <w:tcBorders>
              <w:top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Наименование показателя</w:t>
            </w:r>
          </w:p>
        </w:tc>
        <w:tc>
          <w:tcPr>
            <w:tcW w:w="2240" w:type="dxa"/>
            <w:gridSpan w:val="2"/>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2013</w:t>
            </w:r>
          </w:p>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год</w:t>
            </w:r>
          </w:p>
        </w:tc>
        <w:tc>
          <w:tcPr>
            <w:tcW w:w="4340" w:type="dxa"/>
            <w:gridSpan w:val="4"/>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2014 год</w:t>
            </w:r>
          </w:p>
        </w:tc>
        <w:tc>
          <w:tcPr>
            <w:tcW w:w="1260" w:type="dxa"/>
            <w:vMerge w:val="restart"/>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Темп роста, %</w:t>
            </w:r>
          </w:p>
        </w:tc>
      </w:tr>
      <w:tr w:rsidR="001F70FA" w:rsidRPr="001F70FA">
        <w:tblPrEx>
          <w:tblCellMar>
            <w:top w:w="0" w:type="dxa"/>
            <w:bottom w:w="0" w:type="dxa"/>
          </w:tblCellMar>
        </w:tblPrEx>
        <w:tc>
          <w:tcPr>
            <w:tcW w:w="2380" w:type="dxa"/>
            <w:vMerge/>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исполнение</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доля, %</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план</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исполнение</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 исполнения</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доля, %</w:t>
            </w:r>
          </w:p>
        </w:tc>
        <w:tc>
          <w:tcPr>
            <w:tcW w:w="1260" w:type="dxa"/>
            <w:vMerge/>
            <w:tcBorders>
              <w:top w:val="single" w:sz="4" w:space="0" w:color="auto"/>
              <w:left w:val="single" w:sz="4" w:space="0" w:color="auto"/>
              <w:bottom w:val="single" w:sz="4" w:space="0" w:color="auto"/>
            </w:tcBorders>
          </w:tcPr>
          <w:p w:rsidR="00000000" w:rsidRPr="001F70FA" w:rsidRDefault="0065020B">
            <w:pPr>
              <w:pStyle w:val="aff7"/>
              <w:rPr>
                <w:rFonts w:ascii="Times New Roman" w:hAnsi="Times New Roman" w:cs="Times New Roman"/>
              </w:rPr>
            </w:pP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Налоговые доходы - всего</w:t>
            </w:r>
          </w:p>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в том числе:</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18 352,7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90,3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28 125,0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26 777,0</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95,2</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95,8</w:t>
            </w:r>
          </w:p>
        </w:tc>
        <w:tc>
          <w:tcPr>
            <w:tcW w:w="1260" w:type="dxa"/>
            <w:tcBorders>
              <w:top w:val="single" w:sz="4" w:space="0" w:color="auto"/>
              <w:left w:val="single" w:sz="4" w:space="0" w:color="auto"/>
              <w:bottom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145,9</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прибыль организаций</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2 394,8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11,8</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8 264,4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8 054,5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97,5</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28,8</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336,3</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7 362,7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36,2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8 532,0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7 760,3</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91,0</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27,8</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105,4</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акцизы на этиловый спирт</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1,6</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1,6</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100,0</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101,7</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акцизы на вина</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34,4</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37,7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33,8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89,7</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0,1</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98,3</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акцизы на пиво</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1 883,4</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2 732,6</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2 732,6</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100,0</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9,8</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145,1</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акцизы на алкогольную продукцию с объемной долей этилового спирта свыше 9 процентов</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1 959,6</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9,6</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2 756,2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2 756,2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100,0</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9,9</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140,6</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акцизы на нефтепродукты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1 380,2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6,8</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1 539,7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1 219,8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79,2</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4,4</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88,4</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взимаемый в связи с применением упрощенной системы налогообложения</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643,9</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751,4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707,2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94,1</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2,5</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109,8</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единый налог на вмененный доход для отдельных видов деятельности</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453,3</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482,3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483,7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100,3</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1,7</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106,7</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12,7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0,1</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10,9</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107,9</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92,6</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имущество физических лиц</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49,4</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49,8</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45,4</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91,3</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91,9</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имущество организаций</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1 115,2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1 828,1</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1 834,7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100,4</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6,6</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164,5</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транспортный налог</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467,8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498,6</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496,5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99,6</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1,8</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106,1</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земельный налог</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478,1</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504,8</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507,5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100,5</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1,8</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106,1</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 xml:space="preserve">налог на добычу полезных </w:t>
            </w:r>
            <w:r w:rsidRPr="001F70FA">
              <w:rPr>
                <w:rFonts w:ascii="Times New Roman" w:hAnsi="Times New Roman" w:cs="Times New Roman"/>
              </w:rPr>
              <w:lastRenderedPageBreak/>
              <w:t>ископаемых</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lastRenderedPageBreak/>
              <w:t>31,0</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42,4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32,5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76,8</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0,1</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104,9</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lastRenderedPageBreak/>
              <w:t>прочие 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84,3</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92,4</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98,9</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107,0</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0,4</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117,3</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Неналоговые доходы - всего</w:t>
            </w:r>
          </w:p>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в том числе:</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1 980,5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9,7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2 394,9</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1183,7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49,4</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4,2</w:t>
            </w:r>
          </w:p>
        </w:tc>
        <w:tc>
          <w:tcPr>
            <w:tcW w:w="1260" w:type="dxa"/>
            <w:tcBorders>
              <w:top w:val="single" w:sz="4" w:space="0" w:color="auto"/>
              <w:left w:val="single" w:sz="4" w:space="0" w:color="auto"/>
              <w:bottom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59,8</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454,9</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465,7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467,7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100,4</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1,7</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102,8</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платежи за пользование природными ресурсами</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57,2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0,3</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60,7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61,2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100,8</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106,9</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1 109,5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5,5</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1 520,0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294,5</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19,4</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26,5</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административные платежи и сборы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0,6</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115,7</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68,7</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штрафы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166,8</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0,8</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258,2</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262,6</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101,7</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0,9</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157,4</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прочие неналоговые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191,0</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0,9</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89,7</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97,0</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108,2</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0,3</w:t>
            </w:r>
          </w:p>
        </w:tc>
        <w:tc>
          <w:tcPr>
            <w:tcW w:w="1260"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50,8</w:t>
            </w:r>
          </w:p>
        </w:tc>
      </w:tr>
      <w:tr w:rsidR="001F70FA" w:rsidRPr="001F70FA">
        <w:tblPrEx>
          <w:tblCellMar>
            <w:top w:w="0" w:type="dxa"/>
            <w:bottom w:w="0" w:type="dxa"/>
          </w:tblCellMar>
        </w:tblPrEx>
        <w:tc>
          <w:tcPr>
            <w:tcW w:w="2380"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20 333,2</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100,0</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30 519,9</w:t>
            </w:r>
          </w:p>
        </w:tc>
        <w:tc>
          <w:tcPr>
            <w:tcW w:w="126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27 960,7</w:t>
            </w:r>
          </w:p>
        </w:tc>
        <w:tc>
          <w:tcPr>
            <w:tcW w:w="98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91,6</w:t>
            </w:r>
          </w:p>
        </w:tc>
        <w:tc>
          <w:tcPr>
            <w:tcW w:w="840"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100,0</w:t>
            </w:r>
          </w:p>
        </w:tc>
        <w:tc>
          <w:tcPr>
            <w:tcW w:w="1260" w:type="dxa"/>
            <w:tcBorders>
              <w:top w:val="single" w:sz="4" w:space="0" w:color="auto"/>
              <w:left w:val="single" w:sz="4" w:space="0" w:color="auto"/>
              <w:bottom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137,5</w:t>
            </w:r>
          </w:p>
        </w:tc>
      </w:tr>
    </w:tbl>
    <w:p w:rsidR="00000000" w:rsidRPr="001F70FA" w:rsidRDefault="0065020B">
      <w:pPr>
        <w:rPr>
          <w:rFonts w:ascii="Times New Roman" w:hAnsi="Times New Roman" w:cs="Times New Roman"/>
        </w:rPr>
      </w:pPr>
    </w:p>
    <w:p w:rsidR="00000000" w:rsidRPr="001F70FA" w:rsidRDefault="0065020B">
      <w:pPr>
        <w:pStyle w:val="1"/>
        <w:rPr>
          <w:rFonts w:ascii="Times New Roman" w:hAnsi="Times New Roman" w:cs="Times New Roman"/>
          <w:color w:val="auto"/>
        </w:rPr>
      </w:pPr>
      <w:bookmarkStart w:id="3" w:name="sub_200"/>
      <w:r w:rsidRPr="001F70FA">
        <w:rPr>
          <w:rFonts w:ascii="Times New Roman" w:hAnsi="Times New Roman" w:cs="Times New Roman"/>
          <w:color w:val="auto"/>
        </w:rPr>
        <w:t>Удельный вес налоговых и неналоговых доходов, зачисляемых в консолидированный бюджет Республики Мордовия в валовом региональном продукте республики</w:t>
      </w:r>
    </w:p>
    <w:bookmarkEnd w:id="3"/>
    <w:p w:rsidR="00000000" w:rsidRPr="001F70FA" w:rsidRDefault="006502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2"/>
        <w:gridCol w:w="1892"/>
        <w:gridCol w:w="2071"/>
      </w:tblGrid>
      <w:tr w:rsidR="001F70FA" w:rsidRPr="001F70FA">
        <w:tblPrEx>
          <w:tblCellMar>
            <w:top w:w="0" w:type="dxa"/>
            <w:bottom w:w="0" w:type="dxa"/>
          </w:tblCellMar>
        </w:tblPrEx>
        <w:tc>
          <w:tcPr>
            <w:tcW w:w="6182" w:type="dxa"/>
            <w:tcBorders>
              <w:top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Наименование показателя</w:t>
            </w:r>
          </w:p>
        </w:tc>
        <w:tc>
          <w:tcPr>
            <w:tcW w:w="189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2013 год</w:t>
            </w:r>
            <w:proofErr w:type="gramStart"/>
            <w:r w:rsidRPr="001F70FA">
              <w:rPr>
                <w:rFonts w:ascii="Times New Roman" w:hAnsi="Times New Roman" w:cs="Times New Roman"/>
              </w:rPr>
              <w:t xml:space="preserve"> (%)</w:t>
            </w:r>
            <w:proofErr w:type="gramEnd"/>
          </w:p>
        </w:tc>
        <w:tc>
          <w:tcPr>
            <w:tcW w:w="2071"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2014 год</w:t>
            </w:r>
            <w:proofErr w:type="gramStart"/>
            <w:r w:rsidRPr="001F70FA">
              <w:rPr>
                <w:rFonts w:ascii="Times New Roman" w:hAnsi="Times New Roman" w:cs="Times New Roman"/>
              </w:rPr>
              <w:t xml:space="preserve"> (%)</w:t>
            </w:r>
            <w:proofErr w:type="gramEnd"/>
          </w:p>
        </w:tc>
      </w:tr>
      <w:tr w:rsidR="001F70FA" w:rsidRPr="001F70FA">
        <w:tblPrEx>
          <w:tblCellMar>
            <w:top w:w="0" w:type="dxa"/>
            <w:bottom w:w="0" w:type="dxa"/>
          </w:tblCellMar>
        </w:tblPrEx>
        <w:tc>
          <w:tcPr>
            <w:tcW w:w="6182"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Налоговые доходы</w:t>
            </w:r>
          </w:p>
        </w:tc>
        <w:tc>
          <w:tcPr>
            <w:tcW w:w="189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13,0</w:t>
            </w:r>
          </w:p>
        </w:tc>
        <w:tc>
          <w:tcPr>
            <w:tcW w:w="2071"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15,9</w:t>
            </w:r>
          </w:p>
        </w:tc>
      </w:tr>
      <w:tr w:rsidR="001F70FA" w:rsidRPr="001F70FA">
        <w:tblPrEx>
          <w:tblCellMar>
            <w:top w:w="0" w:type="dxa"/>
            <w:bottom w:w="0" w:type="dxa"/>
          </w:tblCellMar>
        </w:tblPrEx>
        <w:tc>
          <w:tcPr>
            <w:tcW w:w="6182"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Неналоговые доходы</w:t>
            </w:r>
          </w:p>
        </w:tc>
        <w:tc>
          <w:tcPr>
            <w:tcW w:w="189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1,4</w:t>
            </w:r>
          </w:p>
        </w:tc>
        <w:tc>
          <w:tcPr>
            <w:tcW w:w="2071"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0,7</w:t>
            </w:r>
          </w:p>
        </w:tc>
      </w:tr>
      <w:tr w:rsidR="001F70FA" w:rsidRPr="001F70FA">
        <w:tblPrEx>
          <w:tblCellMar>
            <w:top w:w="0" w:type="dxa"/>
            <w:bottom w:w="0" w:type="dxa"/>
          </w:tblCellMar>
        </w:tblPrEx>
        <w:tc>
          <w:tcPr>
            <w:tcW w:w="6182"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Налоговые и неналоговые доходы - всего</w:t>
            </w:r>
          </w:p>
        </w:tc>
        <w:tc>
          <w:tcPr>
            <w:tcW w:w="1892" w:type="dxa"/>
            <w:tcBorders>
              <w:top w:val="single" w:sz="4" w:space="0" w:color="auto"/>
              <w:left w:val="single" w:sz="4" w:space="0" w:color="auto"/>
              <w:bottom w:val="single" w:sz="4" w:space="0" w:color="auto"/>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14,4</w:t>
            </w:r>
          </w:p>
        </w:tc>
        <w:tc>
          <w:tcPr>
            <w:tcW w:w="2071" w:type="dxa"/>
            <w:tcBorders>
              <w:top w:val="single" w:sz="4" w:space="0" w:color="auto"/>
              <w:left w:val="single" w:sz="4" w:space="0" w:color="auto"/>
              <w:bottom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16,6</w:t>
            </w:r>
          </w:p>
        </w:tc>
      </w:tr>
    </w:tbl>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r w:rsidRPr="001F70FA">
        <w:rPr>
          <w:rFonts w:ascii="Times New Roman" w:hAnsi="Times New Roman" w:cs="Times New Roman"/>
        </w:rPr>
        <w:t xml:space="preserve">Поступление налоговых и неналоговых доходов в консолидированный бюджет Республики Мордовия за 2014 год составило 27 960,7 млн. рублей, что составляет 91,6 процента к плановым назначениям года. По </w:t>
      </w:r>
      <w:r w:rsidRPr="001F70FA">
        <w:rPr>
          <w:rFonts w:ascii="Times New Roman" w:hAnsi="Times New Roman" w:cs="Times New Roman"/>
        </w:rPr>
        <w:t>сравнению с 2013 годом поступления увеличились на 37,5 процента, или на 7 627,5 млн. рублей. Основной причиной роста налоговых и неналоговых доходов является поступление в 2014 году разовых платежей по налогу на прибыль организаций.</w:t>
      </w:r>
    </w:p>
    <w:p w:rsidR="00000000" w:rsidRPr="001F70FA" w:rsidRDefault="0065020B">
      <w:pPr>
        <w:rPr>
          <w:rFonts w:ascii="Times New Roman" w:hAnsi="Times New Roman" w:cs="Times New Roman"/>
        </w:rPr>
      </w:pPr>
      <w:r w:rsidRPr="001F70FA">
        <w:rPr>
          <w:rFonts w:ascii="Times New Roman" w:hAnsi="Times New Roman" w:cs="Times New Roman"/>
        </w:rPr>
        <w:t>По темпу роста налоговы</w:t>
      </w:r>
      <w:r w:rsidRPr="001F70FA">
        <w:rPr>
          <w:rFonts w:ascii="Times New Roman" w:hAnsi="Times New Roman" w:cs="Times New Roman"/>
        </w:rPr>
        <w:t xml:space="preserve">х и неналоговых доходов за 2014 год Республика Мордовия занимает второе место по Российской Федерации и первое место по Приволжскому федеральному округу. По итогам 2013 года Республика Мордовия занимала двенадцатое место по </w:t>
      </w:r>
      <w:proofErr w:type="gramStart"/>
      <w:r w:rsidRPr="001F70FA">
        <w:rPr>
          <w:rFonts w:ascii="Times New Roman" w:hAnsi="Times New Roman" w:cs="Times New Roman"/>
        </w:rPr>
        <w:t>Российский</w:t>
      </w:r>
      <w:proofErr w:type="gramEnd"/>
      <w:r w:rsidRPr="001F70FA">
        <w:rPr>
          <w:rFonts w:ascii="Times New Roman" w:hAnsi="Times New Roman" w:cs="Times New Roman"/>
        </w:rPr>
        <w:t xml:space="preserve"> Федерации и первое ме</w:t>
      </w:r>
      <w:r w:rsidRPr="001F70FA">
        <w:rPr>
          <w:rFonts w:ascii="Times New Roman" w:hAnsi="Times New Roman" w:cs="Times New Roman"/>
        </w:rPr>
        <w:t>сто по Приволжскому федеральному округу. Средней темп роста по субъектам Российской Федерации составил 108,4 процента.</w:t>
      </w:r>
    </w:p>
    <w:p w:rsidR="00000000" w:rsidRPr="001F70FA" w:rsidRDefault="0065020B">
      <w:pPr>
        <w:rPr>
          <w:rFonts w:ascii="Times New Roman" w:hAnsi="Times New Roman" w:cs="Times New Roman"/>
        </w:rPr>
      </w:pPr>
      <w:r w:rsidRPr="001F70FA">
        <w:rPr>
          <w:rFonts w:ascii="Times New Roman" w:hAnsi="Times New Roman" w:cs="Times New Roman"/>
        </w:rPr>
        <w:lastRenderedPageBreak/>
        <w:t>По поступлениям налоговых и неналоговых доходов на душу населения за 2014 год (34,4 тыс. </w:t>
      </w:r>
      <w:r w:rsidRPr="001F70FA">
        <w:rPr>
          <w:rFonts w:ascii="Times New Roman" w:hAnsi="Times New Roman" w:cs="Times New Roman"/>
        </w:rPr>
        <w:t>рублей) Республика Мордовия занимает сорок первое место по Российской Федерации и шестое место по Приволжскому федеральному округу. По итогам 2013 года Республика Мордовия занимала шестьдесят второе место по Российской Федерации и десятое место по Приволжс</w:t>
      </w:r>
      <w:r w:rsidRPr="001F70FA">
        <w:rPr>
          <w:rFonts w:ascii="Times New Roman" w:hAnsi="Times New Roman" w:cs="Times New Roman"/>
        </w:rPr>
        <w:t>кому федеральному округу. Средний показатель по субъектам Российской Федерации составил 50,2 тыс. рублей.</w:t>
      </w:r>
    </w:p>
    <w:p w:rsidR="00000000" w:rsidRPr="001F70FA" w:rsidRDefault="0065020B">
      <w:pPr>
        <w:rPr>
          <w:rFonts w:ascii="Times New Roman" w:hAnsi="Times New Roman" w:cs="Times New Roman"/>
        </w:rPr>
      </w:pPr>
      <w:r w:rsidRPr="001F70FA">
        <w:rPr>
          <w:rFonts w:ascii="Times New Roman" w:hAnsi="Times New Roman" w:cs="Times New Roman"/>
        </w:rPr>
        <w:t>Основные причины роста налоговых и неналоговых доходов в 2014 году:</w:t>
      </w:r>
    </w:p>
    <w:p w:rsidR="00000000" w:rsidRPr="001F70FA" w:rsidRDefault="0065020B">
      <w:pPr>
        <w:rPr>
          <w:rFonts w:ascii="Times New Roman" w:hAnsi="Times New Roman" w:cs="Times New Roman"/>
        </w:rPr>
      </w:pPr>
      <w:r w:rsidRPr="001F70FA">
        <w:rPr>
          <w:rFonts w:ascii="Times New Roman" w:hAnsi="Times New Roman" w:cs="Times New Roman"/>
        </w:rPr>
        <w:t>1) поступление налога на прибыль организаций, имеющее разовый характер, не связанн</w:t>
      </w:r>
      <w:r w:rsidRPr="001F70FA">
        <w:rPr>
          <w:rFonts w:ascii="Times New Roman" w:hAnsi="Times New Roman" w:cs="Times New Roman"/>
        </w:rPr>
        <w:t>ое с реализацией продукции (выполнением работ, оказанием услуг) и не свидетельствующее о ведении налогоплательщиком конкретной финансово-хозяйственной деятельности;</w:t>
      </w:r>
    </w:p>
    <w:p w:rsidR="00000000" w:rsidRPr="001F70FA" w:rsidRDefault="0065020B">
      <w:pPr>
        <w:rPr>
          <w:rFonts w:ascii="Times New Roman" w:hAnsi="Times New Roman" w:cs="Times New Roman"/>
        </w:rPr>
      </w:pPr>
      <w:r w:rsidRPr="001F70FA">
        <w:rPr>
          <w:rFonts w:ascii="Times New Roman" w:hAnsi="Times New Roman" w:cs="Times New Roman"/>
        </w:rPr>
        <w:t>2) увеличение объемов реализации подакцизной продукции;</w:t>
      </w:r>
    </w:p>
    <w:p w:rsidR="00000000" w:rsidRPr="001F70FA" w:rsidRDefault="0065020B">
      <w:pPr>
        <w:rPr>
          <w:rFonts w:ascii="Times New Roman" w:hAnsi="Times New Roman" w:cs="Times New Roman"/>
        </w:rPr>
      </w:pPr>
      <w:r w:rsidRPr="001F70FA">
        <w:rPr>
          <w:rFonts w:ascii="Times New Roman" w:hAnsi="Times New Roman" w:cs="Times New Roman"/>
        </w:rPr>
        <w:t>3) отмена налоговых льгот по налогу</w:t>
      </w:r>
      <w:r w:rsidRPr="001F70FA">
        <w:rPr>
          <w:rFonts w:ascii="Times New Roman" w:hAnsi="Times New Roman" w:cs="Times New Roman"/>
        </w:rPr>
        <w:t xml:space="preserve"> на имущество организаций, установленных федеральным и региональным законодательством.</w:t>
      </w:r>
    </w:p>
    <w:p w:rsidR="00000000" w:rsidRPr="001F70FA" w:rsidRDefault="0065020B">
      <w:pPr>
        <w:rPr>
          <w:rFonts w:ascii="Times New Roman" w:hAnsi="Times New Roman" w:cs="Times New Roman"/>
        </w:rPr>
      </w:pPr>
      <w:r w:rsidRPr="001F70FA">
        <w:rPr>
          <w:rFonts w:ascii="Times New Roman" w:hAnsi="Times New Roman" w:cs="Times New Roman"/>
        </w:rPr>
        <w:t>Объем недополученных доходов консолидированного бюджета Республики Мордовия вследствие предоставления налогоплательщикам региональным и муниципальным законодательством н</w:t>
      </w:r>
      <w:r w:rsidRPr="001F70FA">
        <w:rPr>
          <w:rFonts w:ascii="Times New Roman" w:hAnsi="Times New Roman" w:cs="Times New Roman"/>
        </w:rPr>
        <w:t xml:space="preserve">алоговых льгот в 2014 году составил 1 294,4 млн. рублей. По сравнению с 2013 годом </w:t>
      </w:r>
      <w:proofErr w:type="gramStart"/>
      <w:r w:rsidRPr="001F70FA">
        <w:rPr>
          <w:rFonts w:ascii="Times New Roman" w:hAnsi="Times New Roman" w:cs="Times New Roman"/>
        </w:rPr>
        <w:t>общем</w:t>
      </w:r>
      <w:proofErr w:type="gramEnd"/>
      <w:r w:rsidRPr="001F70FA">
        <w:rPr>
          <w:rFonts w:ascii="Times New Roman" w:hAnsi="Times New Roman" w:cs="Times New Roman"/>
        </w:rPr>
        <w:t xml:space="preserve"> налоговых льгот снизился на 39,9 процента, или на 858,7 млн. рублей.</w:t>
      </w:r>
    </w:p>
    <w:p w:rsidR="00000000" w:rsidRPr="001F70FA" w:rsidRDefault="0065020B">
      <w:pPr>
        <w:rPr>
          <w:rFonts w:ascii="Times New Roman" w:hAnsi="Times New Roman" w:cs="Times New Roman"/>
        </w:rPr>
      </w:pPr>
      <w:r w:rsidRPr="001F70FA">
        <w:rPr>
          <w:rFonts w:ascii="Times New Roman" w:hAnsi="Times New Roman" w:cs="Times New Roman"/>
        </w:rPr>
        <w:t>Снижение объема налоговых льгот обусловлено сокращением категорий налоговых льгот по налогу на иму</w:t>
      </w:r>
      <w:r w:rsidRPr="001F70FA">
        <w:rPr>
          <w:rFonts w:ascii="Times New Roman" w:hAnsi="Times New Roman" w:cs="Times New Roman"/>
        </w:rPr>
        <w:t xml:space="preserve">щество организаций и установление дополнительных условий по предоставлению налоговых льгот, принятых законами Республики Мордовия </w:t>
      </w:r>
      <w:hyperlink r:id="rId11" w:history="1">
        <w:r w:rsidRPr="001F70FA">
          <w:rPr>
            <w:rStyle w:val="a4"/>
            <w:rFonts w:ascii="Times New Roman" w:hAnsi="Times New Roman" w:cs="Times New Roman"/>
            <w:color w:val="auto"/>
          </w:rPr>
          <w:t>от 19 ноября 2013 г. N 75-З</w:t>
        </w:r>
      </w:hyperlink>
      <w:r w:rsidRPr="001F70FA">
        <w:rPr>
          <w:rFonts w:ascii="Times New Roman" w:hAnsi="Times New Roman" w:cs="Times New Roman"/>
        </w:rPr>
        <w:t xml:space="preserve"> и </w:t>
      </w:r>
      <w:hyperlink r:id="rId12" w:history="1">
        <w:r w:rsidRPr="001F70FA">
          <w:rPr>
            <w:rStyle w:val="a4"/>
            <w:rFonts w:ascii="Times New Roman" w:hAnsi="Times New Roman" w:cs="Times New Roman"/>
            <w:color w:val="auto"/>
          </w:rPr>
          <w:t>от 28 ноября 2013 г. N 91-З</w:t>
        </w:r>
      </w:hyperlink>
      <w:r w:rsidRPr="001F70FA">
        <w:rPr>
          <w:rFonts w:ascii="Times New Roman" w:hAnsi="Times New Roman" w:cs="Times New Roman"/>
        </w:rPr>
        <w:t>.</w:t>
      </w:r>
    </w:p>
    <w:p w:rsidR="00000000" w:rsidRPr="001F70FA" w:rsidRDefault="0065020B">
      <w:pPr>
        <w:rPr>
          <w:rFonts w:ascii="Times New Roman" w:hAnsi="Times New Roman" w:cs="Times New Roman"/>
        </w:rPr>
      </w:pPr>
    </w:p>
    <w:p w:rsidR="00000000" w:rsidRPr="001F70FA" w:rsidRDefault="0065020B">
      <w:pPr>
        <w:pStyle w:val="1"/>
        <w:rPr>
          <w:rFonts w:ascii="Times New Roman" w:hAnsi="Times New Roman" w:cs="Times New Roman"/>
          <w:color w:val="auto"/>
        </w:rPr>
      </w:pPr>
      <w:bookmarkStart w:id="4" w:name="sub_300"/>
      <w:r w:rsidRPr="001F70FA">
        <w:rPr>
          <w:rFonts w:ascii="Times New Roman" w:hAnsi="Times New Roman" w:cs="Times New Roman"/>
          <w:color w:val="auto"/>
        </w:rPr>
        <w:t>Информация</w:t>
      </w:r>
      <w:r w:rsidRPr="001F70FA">
        <w:rPr>
          <w:rFonts w:ascii="Times New Roman" w:hAnsi="Times New Roman" w:cs="Times New Roman"/>
          <w:color w:val="auto"/>
        </w:rPr>
        <w:br/>
        <w:t>о предоставляемых льготах по платежам в консолидированный бюджет Республики Мордовия</w:t>
      </w:r>
    </w:p>
    <w:bookmarkEnd w:id="4"/>
    <w:p w:rsidR="00000000" w:rsidRPr="001F70FA" w:rsidRDefault="006502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8"/>
        <w:gridCol w:w="1239"/>
        <w:gridCol w:w="1622"/>
        <w:gridCol w:w="1195"/>
        <w:gridCol w:w="1565"/>
        <w:gridCol w:w="1379"/>
      </w:tblGrid>
      <w:tr w:rsidR="001F70FA" w:rsidRPr="001F70FA">
        <w:tblPrEx>
          <w:tblCellMar>
            <w:top w:w="0" w:type="dxa"/>
            <w:bottom w:w="0" w:type="dxa"/>
          </w:tblCellMar>
        </w:tblPrEx>
        <w:tc>
          <w:tcPr>
            <w:tcW w:w="3158" w:type="dxa"/>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2861" w:type="dxa"/>
            <w:gridSpan w:val="2"/>
            <w:tcBorders>
              <w:top w:val="nil"/>
              <w:left w:val="nil"/>
              <w:bottom w:val="single" w:sz="4" w:space="0" w:color="auto"/>
              <w:right w:val="nil"/>
            </w:tcBorders>
          </w:tcPr>
          <w:p w:rsidR="00000000" w:rsidRPr="001F70FA" w:rsidRDefault="0065020B">
            <w:pPr>
              <w:pStyle w:val="aff7"/>
              <w:rPr>
                <w:rFonts w:ascii="Times New Roman" w:hAnsi="Times New Roman" w:cs="Times New Roman"/>
              </w:rPr>
            </w:pPr>
          </w:p>
        </w:tc>
        <w:tc>
          <w:tcPr>
            <w:tcW w:w="4139" w:type="dxa"/>
            <w:gridSpan w:val="3"/>
            <w:tcBorders>
              <w:top w:val="nil"/>
              <w:left w:val="nil"/>
              <w:bottom w:val="single" w:sz="4" w:space="0" w:color="auto"/>
              <w:right w:val="nil"/>
            </w:tcBorders>
          </w:tcPr>
          <w:p w:rsidR="00000000" w:rsidRPr="001F70FA" w:rsidRDefault="0065020B">
            <w:pPr>
              <w:pStyle w:val="aff7"/>
              <w:jc w:val="right"/>
              <w:rPr>
                <w:rFonts w:ascii="Times New Roman" w:hAnsi="Times New Roman" w:cs="Times New Roman"/>
              </w:rPr>
            </w:pPr>
            <w:r w:rsidRPr="001F70FA">
              <w:rPr>
                <w:rFonts w:ascii="Times New Roman" w:hAnsi="Times New Roman" w:cs="Times New Roman"/>
              </w:rPr>
              <w:t>(млн. рублей)</w:t>
            </w:r>
          </w:p>
        </w:tc>
      </w:tr>
      <w:tr w:rsidR="001F70FA" w:rsidRPr="001F70FA">
        <w:tblPrEx>
          <w:tblCellMar>
            <w:top w:w="0" w:type="dxa"/>
            <w:bottom w:w="0" w:type="dxa"/>
          </w:tblCellMar>
        </w:tblPrEx>
        <w:tc>
          <w:tcPr>
            <w:tcW w:w="3158" w:type="dxa"/>
            <w:vMerge w:val="restart"/>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2861" w:type="dxa"/>
            <w:gridSpan w:val="2"/>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2013 год</w:t>
            </w:r>
          </w:p>
        </w:tc>
        <w:tc>
          <w:tcPr>
            <w:tcW w:w="2760" w:type="dxa"/>
            <w:gridSpan w:val="2"/>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2014 год</w:t>
            </w:r>
          </w:p>
        </w:tc>
        <w:tc>
          <w:tcPr>
            <w:tcW w:w="1379" w:type="dxa"/>
            <w:tcBorders>
              <w:top w:val="single" w:sz="4" w:space="0" w:color="auto"/>
              <w:left w:val="single" w:sz="4" w:space="0" w:color="auto"/>
              <w:bottom w:val="single" w:sz="4" w:space="0" w:color="auto"/>
            </w:tcBorders>
          </w:tcPr>
          <w:p w:rsidR="00000000" w:rsidRPr="001F70FA" w:rsidRDefault="0065020B">
            <w:pPr>
              <w:pStyle w:val="aff7"/>
              <w:rPr>
                <w:rFonts w:ascii="Times New Roman" w:hAnsi="Times New Roman" w:cs="Times New Roman"/>
              </w:rPr>
            </w:pPr>
          </w:p>
        </w:tc>
      </w:tr>
      <w:tr w:rsidR="001F70FA" w:rsidRPr="001F70FA">
        <w:tblPrEx>
          <w:tblCellMar>
            <w:top w:w="0" w:type="dxa"/>
            <w:bottom w:w="0" w:type="dxa"/>
          </w:tblCellMar>
        </w:tblPrEx>
        <w:tc>
          <w:tcPr>
            <w:tcW w:w="3158" w:type="dxa"/>
            <w:vMerge/>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сумма</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proofErr w:type="gramStart"/>
            <w:r w:rsidRPr="001F70FA">
              <w:rPr>
                <w:rFonts w:ascii="Times New Roman" w:hAnsi="Times New Roman" w:cs="Times New Roman"/>
              </w:rPr>
              <w:t>в</w:t>
            </w:r>
            <w:proofErr w:type="gramEnd"/>
            <w:r w:rsidRPr="001F70FA">
              <w:rPr>
                <w:rFonts w:ascii="Times New Roman" w:hAnsi="Times New Roman" w:cs="Times New Roman"/>
              </w:rPr>
              <w:t xml:space="preserve"> % к налоговым доходам</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сумма</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proofErr w:type="gramStart"/>
            <w:r w:rsidRPr="001F70FA">
              <w:rPr>
                <w:rFonts w:ascii="Times New Roman" w:hAnsi="Times New Roman" w:cs="Times New Roman"/>
              </w:rPr>
              <w:t>в</w:t>
            </w:r>
            <w:proofErr w:type="gramEnd"/>
            <w:r w:rsidRPr="001F70FA">
              <w:rPr>
                <w:rFonts w:ascii="Times New Roman" w:hAnsi="Times New Roman" w:cs="Times New Roman"/>
              </w:rPr>
              <w:t xml:space="preserve"> % к налоговым доходам</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Темп роста, %</w:t>
            </w:r>
          </w:p>
        </w:tc>
      </w:tr>
      <w:tr w:rsidR="001F70FA" w:rsidRPr="001F70FA">
        <w:tblPrEx>
          <w:tblCellMar>
            <w:top w:w="0" w:type="dxa"/>
            <w:bottom w:w="0" w:type="dxa"/>
          </w:tblCellMar>
        </w:tblPrEx>
        <w:tc>
          <w:tcPr>
            <w:tcW w:w="3158" w:type="dxa"/>
            <w:tcBorders>
              <w:top w:val="single" w:sz="4" w:space="0" w:color="auto"/>
              <w:bottom w:val="nil"/>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Налоговые льготы - всего</w:t>
            </w:r>
          </w:p>
        </w:tc>
        <w:tc>
          <w:tcPr>
            <w:tcW w:w="1239" w:type="dxa"/>
            <w:tcBorders>
              <w:top w:val="single" w:sz="4" w:space="0" w:color="auto"/>
              <w:left w:val="single" w:sz="4" w:space="0" w:color="auto"/>
              <w:bottom w:val="nil"/>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2 164,3</w:t>
            </w:r>
          </w:p>
        </w:tc>
        <w:tc>
          <w:tcPr>
            <w:tcW w:w="1622" w:type="dxa"/>
            <w:tcBorders>
              <w:top w:val="single" w:sz="4" w:space="0" w:color="auto"/>
              <w:left w:val="single" w:sz="4" w:space="0" w:color="auto"/>
              <w:bottom w:val="nil"/>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11,8</w:t>
            </w:r>
          </w:p>
        </w:tc>
        <w:tc>
          <w:tcPr>
            <w:tcW w:w="1195" w:type="dxa"/>
            <w:tcBorders>
              <w:top w:val="single" w:sz="4" w:space="0" w:color="auto"/>
              <w:left w:val="single" w:sz="4" w:space="0" w:color="auto"/>
              <w:bottom w:val="nil"/>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1 292,5</w:t>
            </w:r>
          </w:p>
        </w:tc>
        <w:tc>
          <w:tcPr>
            <w:tcW w:w="1565" w:type="dxa"/>
            <w:tcBorders>
              <w:top w:val="single" w:sz="4" w:space="0" w:color="auto"/>
              <w:left w:val="single" w:sz="4" w:space="0" w:color="auto"/>
              <w:bottom w:val="nil"/>
              <w:right w:val="single" w:sz="4" w:space="0" w:color="auto"/>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4,8</w:t>
            </w:r>
          </w:p>
        </w:tc>
        <w:tc>
          <w:tcPr>
            <w:tcW w:w="1379" w:type="dxa"/>
            <w:tcBorders>
              <w:top w:val="single" w:sz="4" w:space="0" w:color="auto"/>
              <w:left w:val="single" w:sz="4" w:space="0" w:color="auto"/>
              <w:bottom w:val="nil"/>
            </w:tcBorders>
          </w:tcPr>
          <w:p w:rsidR="00000000" w:rsidRPr="001F70FA" w:rsidRDefault="0065020B">
            <w:pPr>
              <w:pStyle w:val="1"/>
              <w:rPr>
                <w:rFonts w:ascii="Times New Roman" w:hAnsi="Times New Roman" w:cs="Times New Roman"/>
                <w:color w:val="auto"/>
              </w:rPr>
            </w:pPr>
            <w:r w:rsidRPr="001F70FA">
              <w:rPr>
                <w:rFonts w:ascii="Times New Roman" w:hAnsi="Times New Roman" w:cs="Times New Roman"/>
                <w:color w:val="auto"/>
              </w:rPr>
              <w:t>59,7</w:t>
            </w:r>
          </w:p>
        </w:tc>
      </w:tr>
      <w:tr w:rsidR="001F70FA" w:rsidRPr="001F70FA">
        <w:tblPrEx>
          <w:tblCellMar>
            <w:top w:w="0" w:type="dxa"/>
            <w:bottom w:w="0" w:type="dxa"/>
          </w:tblCellMar>
        </w:tblPrEx>
        <w:tc>
          <w:tcPr>
            <w:tcW w:w="3158" w:type="dxa"/>
            <w:tcBorders>
              <w:top w:val="nil"/>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Style w:val="a3"/>
                <w:rFonts w:ascii="Times New Roman" w:hAnsi="Times New Roman" w:cs="Times New Roman"/>
                <w:color w:val="auto"/>
              </w:rPr>
              <w:t>в том числе:</w:t>
            </w:r>
          </w:p>
        </w:tc>
        <w:tc>
          <w:tcPr>
            <w:tcW w:w="1239" w:type="dxa"/>
            <w:tcBorders>
              <w:top w:val="nil"/>
              <w:left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622" w:type="dxa"/>
            <w:tcBorders>
              <w:top w:val="nil"/>
              <w:left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195" w:type="dxa"/>
            <w:tcBorders>
              <w:top w:val="nil"/>
              <w:left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565" w:type="dxa"/>
            <w:tcBorders>
              <w:top w:val="nil"/>
              <w:left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p>
        </w:tc>
        <w:tc>
          <w:tcPr>
            <w:tcW w:w="1379" w:type="dxa"/>
            <w:tcBorders>
              <w:top w:val="nil"/>
              <w:left w:val="single" w:sz="4" w:space="0" w:color="auto"/>
              <w:bottom w:val="single" w:sz="4" w:space="0" w:color="auto"/>
            </w:tcBorders>
          </w:tcPr>
          <w:p w:rsidR="00000000" w:rsidRPr="001F70FA" w:rsidRDefault="0065020B">
            <w:pPr>
              <w:pStyle w:val="aff7"/>
              <w:rPr>
                <w:rFonts w:ascii="Times New Roman" w:hAnsi="Times New Roman" w:cs="Times New Roman"/>
              </w:rPr>
            </w:pP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прибыль организаций</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27,4</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0,1</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41,9</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0,2</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152,8</w:t>
            </w: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взимаемый в связи с применением упрощенной системы налогообложения</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12,5</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0,1</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7,2</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57,8</w:t>
            </w: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имущество организаций</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2 116,0</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11,5</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1 232,0</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4,6</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58,2</w:t>
            </w: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транспортный налог</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5,5</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3,7</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67,8</w:t>
            </w: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налог на имущество физических лиц</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w:t>
            </w:r>
          </w:p>
        </w:tc>
      </w:tr>
      <w:tr w:rsidR="001F70FA" w:rsidRPr="001F70FA">
        <w:tblPrEx>
          <w:tblCellMar>
            <w:top w:w="0" w:type="dxa"/>
            <w:bottom w:w="0" w:type="dxa"/>
          </w:tblCellMar>
        </w:tblPrEx>
        <w:tc>
          <w:tcPr>
            <w:tcW w:w="3158" w:type="dxa"/>
            <w:tcBorders>
              <w:top w:val="single" w:sz="4" w:space="0" w:color="auto"/>
              <w:bottom w:val="single" w:sz="4" w:space="0" w:color="auto"/>
              <w:right w:val="single" w:sz="4" w:space="0" w:color="auto"/>
            </w:tcBorders>
          </w:tcPr>
          <w:p w:rsidR="00000000" w:rsidRPr="001F70FA" w:rsidRDefault="0065020B">
            <w:pPr>
              <w:pStyle w:val="aff7"/>
              <w:rPr>
                <w:rFonts w:ascii="Times New Roman" w:hAnsi="Times New Roman" w:cs="Times New Roman"/>
              </w:rPr>
            </w:pPr>
            <w:r w:rsidRPr="001F70FA">
              <w:rPr>
                <w:rFonts w:ascii="Times New Roman" w:hAnsi="Times New Roman" w:cs="Times New Roman"/>
              </w:rPr>
              <w:t>земельный налог</w:t>
            </w:r>
          </w:p>
        </w:tc>
        <w:tc>
          <w:tcPr>
            <w:tcW w:w="1239"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2,9</w:t>
            </w:r>
          </w:p>
        </w:tc>
        <w:tc>
          <w:tcPr>
            <w:tcW w:w="1622"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19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7,7</w:t>
            </w:r>
          </w:p>
        </w:tc>
        <w:tc>
          <w:tcPr>
            <w:tcW w:w="1565" w:type="dxa"/>
            <w:tcBorders>
              <w:top w:val="single" w:sz="4" w:space="0" w:color="auto"/>
              <w:left w:val="single" w:sz="4" w:space="0" w:color="auto"/>
              <w:bottom w:val="single" w:sz="4" w:space="0" w:color="auto"/>
              <w:right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0,0</w:t>
            </w:r>
          </w:p>
        </w:tc>
        <w:tc>
          <w:tcPr>
            <w:tcW w:w="1379" w:type="dxa"/>
            <w:tcBorders>
              <w:top w:val="single" w:sz="4" w:space="0" w:color="auto"/>
              <w:left w:val="single" w:sz="4" w:space="0" w:color="auto"/>
              <w:bottom w:val="single" w:sz="4" w:space="0" w:color="auto"/>
            </w:tcBorders>
          </w:tcPr>
          <w:p w:rsidR="00000000" w:rsidRPr="001F70FA" w:rsidRDefault="0065020B">
            <w:pPr>
              <w:pStyle w:val="aff7"/>
              <w:jc w:val="center"/>
              <w:rPr>
                <w:rFonts w:ascii="Times New Roman" w:hAnsi="Times New Roman" w:cs="Times New Roman"/>
              </w:rPr>
            </w:pPr>
            <w:r w:rsidRPr="001F70FA">
              <w:rPr>
                <w:rFonts w:ascii="Times New Roman" w:hAnsi="Times New Roman" w:cs="Times New Roman"/>
              </w:rPr>
              <w:t>265,5</w:t>
            </w:r>
          </w:p>
        </w:tc>
      </w:tr>
    </w:tbl>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hyperlink r:id="rId13" w:history="1">
        <w:r w:rsidRPr="001F70FA">
          <w:rPr>
            <w:rStyle w:val="a4"/>
            <w:rFonts w:ascii="Times New Roman" w:hAnsi="Times New Roman" w:cs="Times New Roman"/>
            <w:color w:val="auto"/>
          </w:rPr>
          <w:t>Законом</w:t>
        </w:r>
      </w:hyperlink>
      <w:r w:rsidRPr="001F70FA">
        <w:rPr>
          <w:rFonts w:ascii="Times New Roman" w:hAnsi="Times New Roman" w:cs="Times New Roman"/>
        </w:rPr>
        <w:t xml:space="preserve"> Республики Мордовия от 28 ноября 2014 г. N </w:t>
      </w:r>
      <w:r w:rsidRPr="001F70FA">
        <w:rPr>
          <w:rFonts w:ascii="Times New Roman" w:hAnsi="Times New Roman" w:cs="Times New Roman"/>
        </w:rPr>
        <w:t>94-З отменены следующие категории налоговых льгот по налогу на имущество организаций:</w:t>
      </w:r>
    </w:p>
    <w:p w:rsidR="00000000" w:rsidRPr="001F70FA" w:rsidRDefault="0065020B">
      <w:pPr>
        <w:rPr>
          <w:rFonts w:ascii="Times New Roman" w:hAnsi="Times New Roman" w:cs="Times New Roman"/>
        </w:rPr>
      </w:pPr>
      <w:r w:rsidRPr="001F70FA">
        <w:rPr>
          <w:rFonts w:ascii="Times New Roman" w:hAnsi="Times New Roman" w:cs="Times New Roman"/>
        </w:rPr>
        <w:t xml:space="preserve">- организации, в отношении объектов жилищного фонда и инженерной инфраструктуры </w:t>
      </w:r>
      <w:r w:rsidRPr="001F70FA">
        <w:rPr>
          <w:rFonts w:ascii="Times New Roman" w:hAnsi="Times New Roman" w:cs="Times New Roman"/>
        </w:rPr>
        <w:lastRenderedPageBreak/>
        <w:t>жилищно-коммунального комплекса, объектов внешнего благоустройства, специального автотранс</w:t>
      </w:r>
      <w:r w:rsidRPr="001F70FA">
        <w:rPr>
          <w:rFonts w:ascii="Times New Roman" w:hAnsi="Times New Roman" w:cs="Times New Roman"/>
        </w:rPr>
        <w:t>порта, используемого в коммунальном обслуживании населения;</w:t>
      </w:r>
    </w:p>
    <w:p w:rsidR="00000000" w:rsidRPr="001F70FA" w:rsidRDefault="0065020B">
      <w:pPr>
        <w:rPr>
          <w:rFonts w:ascii="Times New Roman" w:hAnsi="Times New Roman" w:cs="Times New Roman"/>
        </w:rPr>
      </w:pPr>
      <w:r w:rsidRPr="001F70FA">
        <w:rPr>
          <w:rFonts w:ascii="Times New Roman" w:hAnsi="Times New Roman" w:cs="Times New Roman"/>
        </w:rPr>
        <w:t xml:space="preserve">- организации, осуществляющие производство, а также оптовую торговлю минеральными удобрениями, сырьем и иными компонентами для производства минеральных удобрений, ежеквартальный объем </w:t>
      </w:r>
      <w:proofErr w:type="gramStart"/>
      <w:r w:rsidRPr="001F70FA">
        <w:rPr>
          <w:rFonts w:ascii="Times New Roman" w:hAnsi="Times New Roman" w:cs="Times New Roman"/>
        </w:rPr>
        <w:t>выручки</w:t>
      </w:r>
      <w:proofErr w:type="gramEnd"/>
      <w:r w:rsidRPr="001F70FA">
        <w:rPr>
          <w:rFonts w:ascii="Times New Roman" w:hAnsi="Times New Roman" w:cs="Times New Roman"/>
        </w:rPr>
        <w:t xml:space="preserve"> от р</w:t>
      </w:r>
      <w:r w:rsidRPr="001F70FA">
        <w:rPr>
          <w:rFonts w:ascii="Times New Roman" w:hAnsi="Times New Roman" w:cs="Times New Roman"/>
        </w:rPr>
        <w:t>еализации которых составляет не менее 30% от общего объема выручки организации.</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В отношении организаций, осуществляющих в качестве основного вида деятельности производство, переработку, хранение сельскохозяйственной продукции, выращивание, лов и переработк</w:t>
      </w:r>
      <w:r w:rsidRPr="001F70FA">
        <w:rPr>
          <w:rFonts w:ascii="Times New Roman" w:hAnsi="Times New Roman" w:cs="Times New Roman"/>
        </w:rPr>
        <w:t>у рыбы и морепродуктов, при условии, что выручка от указанных видов деятельности составляет не менее 70 процентов от общей суммы выручки от реализации продукции (работ, услуг), установлены дополнительные условия получения налоговой льготы по налогу на имущ</w:t>
      </w:r>
      <w:r w:rsidRPr="001F70FA">
        <w:rPr>
          <w:rFonts w:ascii="Times New Roman" w:hAnsi="Times New Roman" w:cs="Times New Roman"/>
        </w:rPr>
        <w:t>ество организаций:</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 отсутствие недоимки по налогам, подлежащим зачислению в республиканский бюджет Республики Мордовия, бюджеты муниципальных образований на территории Республики Мордовия;</w:t>
      </w:r>
    </w:p>
    <w:p w:rsidR="00000000" w:rsidRPr="001F70FA" w:rsidRDefault="0065020B">
      <w:pPr>
        <w:rPr>
          <w:rFonts w:ascii="Times New Roman" w:hAnsi="Times New Roman" w:cs="Times New Roman"/>
        </w:rPr>
      </w:pPr>
      <w:r w:rsidRPr="001F70FA">
        <w:rPr>
          <w:rFonts w:ascii="Times New Roman" w:hAnsi="Times New Roman" w:cs="Times New Roman"/>
        </w:rPr>
        <w:t>- размер среднемесячной заработной платы за отчетный период в расч</w:t>
      </w:r>
      <w:r w:rsidRPr="001F70FA">
        <w:rPr>
          <w:rFonts w:ascii="Times New Roman" w:hAnsi="Times New Roman" w:cs="Times New Roman"/>
        </w:rPr>
        <w:t xml:space="preserve">ете на одного работника должен составлять не менее двух </w:t>
      </w:r>
      <w:hyperlink r:id="rId14" w:history="1">
        <w:r w:rsidRPr="001F70FA">
          <w:rPr>
            <w:rStyle w:val="a4"/>
            <w:rFonts w:ascii="Times New Roman" w:hAnsi="Times New Roman" w:cs="Times New Roman"/>
            <w:color w:val="auto"/>
          </w:rPr>
          <w:t xml:space="preserve">минимальных </w:t>
        </w:r>
        <w:proofErr w:type="gramStart"/>
        <w:r w:rsidRPr="001F70FA">
          <w:rPr>
            <w:rStyle w:val="a4"/>
            <w:rFonts w:ascii="Times New Roman" w:hAnsi="Times New Roman" w:cs="Times New Roman"/>
            <w:color w:val="auto"/>
          </w:rPr>
          <w:t>размеров оплаты труда</w:t>
        </w:r>
        <w:proofErr w:type="gramEnd"/>
      </w:hyperlink>
      <w:r w:rsidRPr="001F70FA">
        <w:rPr>
          <w:rFonts w:ascii="Times New Roman" w:hAnsi="Times New Roman" w:cs="Times New Roman"/>
        </w:rPr>
        <w:t>, установленных Федеральным законом.</w:t>
      </w:r>
    </w:p>
    <w:p w:rsidR="00000000" w:rsidRPr="001F70FA" w:rsidRDefault="0065020B">
      <w:pPr>
        <w:rPr>
          <w:rFonts w:ascii="Times New Roman" w:hAnsi="Times New Roman" w:cs="Times New Roman"/>
        </w:rPr>
      </w:pPr>
    </w:p>
    <w:p w:rsidR="00000000" w:rsidRPr="001F70FA" w:rsidRDefault="0065020B">
      <w:pPr>
        <w:pStyle w:val="1"/>
        <w:rPr>
          <w:rFonts w:ascii="Times New Roman" w:hAnsi="Times New Roman" w:cs="Times New Roman"/>
          <w:color w:val="auto"/>
        </w:rPr>
      </w:pPr>
      <w:bookmarkStart w:id="5" w:name="sub_400"/>
      <w:r w:rsidRPr="001F70FA">
        <w:rPr>
          <w:rFonts w:ascii="Times New Roman" w:hAnsi="Times New Roman" w:cs="Times New Roman"/>
          <w:color w:val="auto"/>
        </w:rPr>
        <w:t>Основные изменения налогового законодательства с 2015 года</w:t>
      </w:r>
    </w:p>
    <w:bookmarkEnd w:id="5"/>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r w:rsidRPr="001F70FA">
        <w:rPr>
          <w:rFonts w:ascii="Times New Roman" w:hAnsi="Times New Roman" w:cs="Times New Roman"/>
        </w:rPr>
        <w:t xml:space="preserve">При формировании консолидированного бюджета Республики Мордовия на 2015 год и на плановый период 2016 и 2017 годов были учтены следующие изменения </w:t>
      </w:r>
      <w:hyperlink r:id="rId15" w:history="1">
        <w:r w:rsidRPr="001F70FA">
          <w:rPr>
            <w:rStyle w:val="a4"/>
            <w:rFonts w:ascii="Times New Roman" w:hAnsi="Times New Roman" w:cs="Times New Roman"/>
            <w:color w:val="auto"/>
          </w:rPr>
          <w:t>налогового законодательства</w:t>
        </w:r>
      </w:hyperlink>
      <w:r w:rsidRPr="001F70FA">
        <w:rPr>
          <w:rFonts w:ascii="Times New Roman" w:hAnsi="Times New Roman" w:cs="Times New Roman"/>
        </w:rPr>
        <w:t>:</w:t>
      </w:r>
    </w:p>
    <w:p w:rsidR="00000000" w:rsidRPr="001F70FA" w:rsidRDefault="0065020B">
      <w:pPr>
        <w:rPr>
          <w:rFonts w:ascii="Times New Roman" w:hAnsi="Times New Roman" w:cs="Times New Roman"/>
        </w:rPr>
      </w:pPr>
      <w:r w:rsidRPr="001F70FA">
        <w:rPr>
          <w:rFonts w:ascii="Times New Roman" w:hAnsi="Times New Roman" w:cs="Times New Roman"/>
        </w:rPr>
        <w:t xml:space="preserve">1) </w:t>
      </w:r>
      <w:hyperlink r:id="rId16" w:history="1">
        <w:r w:rsidRPr="001F70FA">
          <w:rPr>
            <w:rStyle w:val="a4"/>
            <w:rFonts w:ascii="Times New Roman" w:hAnsi="Times New Roman" w:cs="Times New Roman"/>
            <w:color w:val="auto"/>
          </w:rPr>
          <w:t>Федераль</w:t>
        </w:r>
        <w:r w:rsidRPr="001F70FA">
          <w:rPr>
            <w:rStyle w:val="a4"/>
            <w:rFonts w:ascii="Times New Roman" w:hAnsi="Times New Roman" w:cs="Times New Roman"/>
            <w:color w:val="auto"/>
          </w:rPr>
          <w:t>ным законом</w:t>
        </w:r>
      </w:hyperlink>
      <w:r w:rsidRPr="001F70FA">
        <w:rPr>
          <w:rFonts w:ascii="Times New Roman" w:hAnsi="Times New Roman" w:cs="Times New Roman"/>
        </w:rPr>
        <w:t xml:space="preserve"> от 24 ноября 2014 г. N 368-ФЗ "О внесении изменений в статьи 226 и 227.1 части второй Налогового кодекса Российский Федерации" предусмотрен новый механизм расчета суммы фиксированного авансового платежа по налогу на доходы физических лиц для</w:t>
      </w:r>
      <w:r w:rsidRPr="001F70FA">
        <w:rPr>
          <w:rFonts w:ascii="Times New Roman" w:hAnsi="Times New Roman" w:cs="Times New Roman"/>
        </w:rPr>
        <w:t xml:space="preserve"> иностранных граждан. </w:t>
      </w:r>
      <w:proofErr w:type="gramStart"/>
      <w:r w:rsidRPr="001F70FA">
        <w:rPr>
          <w:rFonts w:ascii="Times New Roman" w:hAnsi="Times New Roman" w:cs="Times New Roman"/>
        </w:rPr>
        <w:t xml:space="preserve">В соответствии с указанным Федеральным законом принят </w:t>
      </w:r>
      <w:hyperlink r:id="rId17" w:history="1">
        <w:r w:rsidRPr="001F70FA">
          <w:rPr>
            <w:rStyle w:val="a4"/>
            <w:rFonts w:ascii="Times New Roman" w:hAnsi="Times New Roman" w:cs="Times New Roman"/>
            <w:color w:val="auto"/>
          </w:rPr>
          <w:t>Закон</w:t>
        </w:r>
      </w:hyperlink>
      <w:r w:rsidRPr="001F70FA">
        <w:rPr>
          <w:rFonts w:ascii="Times New Roman" w:hAnsi="Times New Roman" w:cs="Times New Roman"/>
        </w:rPr>
        <w:t xml:space="preserve"> Республики Мордовия от 28 ноября 2014 г. N 95-З "Об установлении размера коэффициента, отражающего региональные особенности рынка труда", к</w:t>
      </w:r>
      <w:r w:rsidRPr="001F70FA">
        <w:rPr>
          <w:rFonts w:ascii="Times New Roman" w:hAnsi="Times New Roman" w:cs="Times New Roman"/>
        </w:rPr>
        <w:t>оторый устанавливает на 2015 год коэффициент в размере 1,942;</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2) ставки акцизов на алкогольную продукцию на 2015 год сохранены на уровне ставок, действовавших в 2014 году;</w:t>
      </w:r>
    </w:p>
    <w:p w:rsidR="00000000" w:rsidRPr="001F70FA" w:rsidRDefault="0065020B">
      <w:pPr>
        <w:rPr>
          <w:rFonts w:ascii="Times New Roman" w:hAnsi="Times New Roman" w:cs="Times New Roman"/>
        </w:rPr>
      </w:pPr>
      <w:r w:rsidRPr="001F70FA">
        <w:rPr>
          <w:rFonts w:ascii="Times New Roman" w:hAnsi="Times New Roman" w:cs="Times New Roman"/>
        </w:rPr>
        <w:t>3) в рамках проводимого на федеральном уровне "налогового маневре" в 2015 году сниже</w:t>
      </w:r>
      <w:r w:rsidRPr="001F70FA">
        <w:rPr>
          <w:rFonts w:ascii="Times New Roman" w:hAnsi="Times New Roman" w:cs="Times New Roman"/>
        </w:rPr>
        <w:t xml:space="preserve">ны ставки акцизов на нефтепродукты. </w:t>
      </w:r>
      <w:proofErr w:type="gramStart"/>
      <w:r w:rsidRPr="001F70FA">
        <w:rPr>
          <w:rFonts w:ascii="Times New Roman" w:hAnsi="Times New Roman" w:cs="Times New Roman"/>
        </w:rPr>
        <w:t xml:space="preserve">В целях компенсации выпадающих доходов от снижения ставок акцизов </w:t>
      </w:r>
      <w:hyperlink r:id="rId18"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4 октября 2014 г. N 283-ФЗ "О внесении изменений в Бюджетный кодекс Российской Федерации и стат</w:t>
      </w:r>
      <w:r w:rsidRPr="001F70FA">
        <w:rPr>
          <w:rFonts w:ascii="Times New Roman" w:hAnsi="Times New Roman" w:cs="Times New Roman"/>
        </w:rPr>
        <w:t xml:space="preserve">ью 30 Федерального закона "О внесении изменений в отдельные законодательное акты Российской Федерации в связи с совершенствованием правового положения государственных (муниципальных) учреждений" внесены изменения в </w:t>
      </w:r>
      <w:hyperlink r:id="rId19" w:history="1">
        <w:r w:rsidRPr="001F70FA">
          <w:rPr>
            <w:rStyle w:val="a4"/>
            <w:rFonts w:ascii="Times New Roman" w:hAnsi="Times New Roman" w:cs="Times New Roman"/>
            <w:color w:val="auto"/>
          </w:rPr>
          <w:t>Бюджетны</w:t>
        </w:r>
        <w:r w:rsidRPr="001F70FA">
          <w:rPr>
            <w:rStyle w:val="a4"/>
            <w:rFonts w:ascii="Times New Roman" w:hAnsi="Times New Roman" w:cs="Times New Roman"/>
            <w:color w:val="auto"/>
          </w:rPr>
          <w:t>й кодекс</w:t>
        </w:r>
      </w:hyperlink>
      <w:r w:rsidRPr="001F70FA">
        <w:rPr>
          <w:rFonts w:ascii="Times New Roman" w:hAnsi="Times New Roman" w:cs="Times New Roman"/>
        </w:rPr>
        <w:t xml:space="preserve"> Российской Федерации, в соответствии с которыми</w:t>
      </w:r>
      <w:proofErr w:type="gramEnd"/>
      <w:r w:rsidRPr="001F70FA">
        <w:rPr>
          <w:rFonts w:ascii="Times New Roman" w:hAnsi="Times New Roman" w:cs="Times New Roman"/>
        </w:rPr>
        <w:t xml:space="preserve"> </w:t>
      </w:r>
      <w:proofErr w:type="gramStart"/>
      <w:r w:rsidRPr="001F70FA">
        <w:rPr>
          <w:rFonts w:ascii="Times New Roman" w:hAnsi="Times New Roman" w:cs="Times New Roman"/>
        </w:rPr>
        <w:t>акцизы на автомобильный и прямогонный бензин, дизель топливо, моторные масла для дизельных и (или) карбюраторные (</w:t>
      </w:r>
      <w:proofErr w:type="spellStart"/>
      <w:r w:rsidRPr="001F70FA">
        <w:rPr>
          <w:rFonts w:ascii="Times New Roman" w:hAnsi="Times New Roman" w:cs="Times New Roman"/>
        </w:rPr>
        <w:t>инжекторных</w:t>
      </w:r>
      <w:proofErr w:type="spellEnd"/>
      <w:r w:rsidRPr="001F70FA">
        <w:rPr>
          <w:rFonts w:ascii="Times New Roman" w:hAnsi="Times New Roman" w:cs="Times New Roman"/>
        </w:rPr>
        <w:t>) двигателей зачисляются в бюджеты субъектов Российское Федерации по но</w:t>
      </w:r>
      <w:r w:rsidRPr="001F70FA">
        <w:rPr>
          <w:rFonts w:ascii="Times New Roman" w:hAnsi="Times New Roman" w:cs="Times New Roman"/>
        </w:rPr>
        <w:t>рмативу 100 процентов вместо ранее действовавшего норматива 72 процента;</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4) с 1 января 2015 г. на федеральном уровне для физических лиц установлены новые сроки уплаты имущественных налогов - не позднее: 1 октября года, следующего за истекшим налоговым пери</w:t>
      </w:r>
      <w:r w:rsidRPr="001F70FA">
        <w:rPr>
          <w:rFonts w:ascii="Times New Roman" w:hAnsi="Times New Roman" w:cs="Times New Roman"/>
        </w:rPr>
        <w:t>одом;</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5) в соответствии с </w:t>
      </w:r>
      <w:hyperlink r:id="rId20"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21 июля 2014 г. N 249-ФЗ "О внесении изменений в статьи 50 и 56 Бюджетного кодекса Российский Федерации" с 1 января 2015 г. </w:t>
      </w:r>
      <w:r w:rsidRPr="001F70FA">
        <w:rPr>
          <w:rFonts w:ascii="Times New Roman" w:hAnsi="Times New Roman" w:cs="Times New Roman"/>
        </w:rPr>
        <w:lastRenderedPageBreak/>
        <w:t>государственная пошлина за совершение федеральн</w:t>
      </w:r>
      <w:r w:rsidRPr="001F70FA">
        <w:rPr>
          <w:rFonts w:ascii="Times New Roman" w:hAnsi="Times New Roman" w:cs="Times New Roman"/>
        </w:rPr>
        <w:t>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w:t>
      </w:r>
      <w:proofErr w:type="gramEnd"/>
      <w:r w:rsidRPr="001F70FA">
        <w:rPr>
          <w:rFonts w:ascii="Times New Roman" w:hAnsi="Times New Roman" w:cs="Times New Roman"/>
        </w:rPr>
        <w:t xml:space="preserve"> зачисляется в бюджет субъекта Росс</w:t>
      </w:r>
      <w:r w:rsidRPr="001F70FA">
        <w:rPr>
          <w:rFonts w:ascii="Times New Roman" w:hAnsi="Times New Roman" w:cs="Times New Roman"/>
        </w:rPr>
        <w:t xml:space="preserve">ийской Федерации по нормативу 50 процентов. Ранее указанная государственная пошлина зачислялась в полном объеме в </w:t>
      </w:r>
      <w:proofErr w:type="gramStart"/>
      <w:r w:rsidRPr="001F70FA">
        <w:rPr>
          <w:rFonts w:ascii="Times New Roman" w:hAnsi="Times New Roman" w:cs="Times New Roman"/>
        </w:rPr>
        <w:t>федеральной</w:t>
      </w:r>
      <w:proofErr w:type="gramEnd"/>
      <w:r w:rsidRPr="001F70FA">
        <w:rPr>
          <w:rFonts w:ascii="Times New Roman" w:hAnsi="Times New Roman" w:cs="Times New Roman"/>
        </w:rPr>
        <w:t xml:space="preserve"> бюджет;</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6) </w:t>
      </w:r>
      <w:hyperlink r:id="rId21"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4 октября 2014 г. N </w:t>
      </w:r>
      <w:r w:rsidRPr="001F70FA">
        <w:rPr>
          <w:rFonts w:ascii="Times New Roman" w:hAnsi="Times New Roman" w:cs="Times New Roman"/>
        </w:rPr>
        <w:t>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Налоговый кодекс Российской Федерации дополнен</w:t>
      </w:r>
      <w:r w:rsidRPr="001F70FA">
        <w:rPr>
          <w:rFonts w:ascii="Times New Roman" w:hAnsi="Times New Roman" w:cs="Times New Roman"/>
        </w:rPr>
        <w:t xml:space="preserve"> </w:t>
      </w:r>
      <w:hyperlink r:id="rId22" w:history="1">
        <w:r w:rsidRPr="001F70FA">
          <w:rPr>
            <w:rStyle w:val="a4"/>
            <w:rFonts w:ascii="Times New Roman" w:hAnsi="Times New Roman" w:cs="Times New Roman"/>
            <w:color w:val="auto"/>
          </w:rPr>
          <w:t>главой 32</w:t>
        </w:r>
      </w:hyperlink>
      <w:r w:rsidRPr="001F70FA">
        <w:rPr>
          <w:rFonts w:ascii="Times New Roman" w:hAnsi="Times New Roman" w:cs="Times New Roman"/>
        </w:rPr>
        <w:t xml:space="preserve"> "Налог на имущество физических лиц" и признан утратившим силу </w:t>
      </w:r>
      <w:hyperlink r:id="rId23" w:history="1">
        <w:r w:rsidRPr="001F70FA">
          <w:rPr>
            <w:rStyle w:val="a4"/>
            <w:rFonts w:ascii="Times New Roman" w:hAnsi="Times New Roman" w:cs="Times New Roman"/>
            <w:color w:val="auto"/>
          </w:rPr>
          <w:t>Закон</w:t>
        </w:r>
      </w:hyperlink>
      <w:r w:rsidRPr="001F70FA">
        <w:rPr>
          <w:rFonts w:ascii="Times New Roman" w:hAnsi="Times New Roman" w:cs="Times New Roman"/>
        </w:rPr>
        <w:t xml:space="preserve"> Российской Федерации "О</w:t>
      </w:r>
      <w:proofErr w:type="gramEnd"/>
      <w:r w:rsidRPr="001F70FA">
        <w:rPr>
          <w:rFonts w:ascii="Times New Roman" w:hAnsi="Times New Roman" w:cs="Times New Roman"/>
        </w:rPr>
        <w:t xml:space="preserve"> </w:t>
      </w:r>
      <w:proofErr w:type="gramStart"/>
      <w:r w:rsidRPr="001F70FA">
        <w:rPr>
          <w:rFonts w:ascii="Times New Roman" w:hAnsi="Times New Roman" w:cs="Times New Roman"/>
        </w:rPr>
        <w:t>налогах</w:t>
      </w:r>
      <w:proofErr w:type="gramEnd"/>
      <w:r w:rsidRPr="001F70FA">
        <w:rPr>
          <w:rFonts w:ascii="Times New Roman" w:hAnsi="Times New Roman" w:cs="Times New Roman"/>
        </w:rPr>
        <w:t xml:space="preserve"> на имущество физических лиц". Указанный Федеральный закон предполагае</w:t>
      </w:r>
      <w:r w:rsidRPr="001F70FA">
        <w:rPr>
          <w:rFonts w:ascii="Times New Roman" w:hAnsi="Times New Roman" w:cs="Times New Roman"/>
        </w:rPr>
        <w:t>т постепенное введение на всей территории Российской Федерации налога на имущество физических лиц, определяемого исходя из его кадастровой стоимости, в течение переходного периода с 2015 по 2019 год.</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В связи с наличием в Республике Мордовия утвержденных ре</w:t>
      </w:r>
      <w:r w:rsidRPr="001F70FA">
        <w:rPr>
          <w:rFonts w:ascii="Times New Roman" w:hAnsi="Times New Roman" w:cs="Times New Roman"/>
        </w:rPr>
        <w:t xml:space="preserve">зультатов государственной кадастровой оценки объектов недвижимости </w:t>
      </w:r>
      <w:hyperlink r:id="rId24" w:history="1">
        <w:r w:rsidRPr="001F70FA">
          <w:rPr>
            <w:rStyle w:val="a4"/>
            <w:rFonts w:ascii="Times New Roman" w:hAnsi="Times New Roman" w:cs="Times New Roman"/>
            <w:color w:val="auto"/>
          </w:rPr>
          <w:t>Законом</w:t>
        </w:r>
      </w:hyperlink>
      <w:r w:rsidRPr="001F70FA">
        <w:rPr>
          <w:rFonts w:ascii="Times New Roman" w:hAnsi="Times New Roman" w:cs="Times New Roman"/>
        </w:rPr>
        <w:t xml:space="preserve"> Республики Мордовия от 12 ноября 2014 г. N 91-З "Об установлении единой даты начала применения на территории Республики Мордовия порядка определен</w:t>
      </w:r>
      <w:r w:rsidRPr="001F70FA">
        <w:rPr>
          <w:rFonts w:ascii="Times New Roman" w:hAnsi="Times New Roman" w:cs="Times New Roman"/>
        </w:rPr>
        <w:t>ия налоговой базы по налогу на имущество физических лиц исходя из кадастровой стоимости объектов налогообложения" с 1 января 2015 г. установлен порядок определения налоговой базы</w:t>
      </w:r>
      <w:proofErr w:type="gramEnd"/>
      <w:r w:rsidRPr="001F70FA">
        <w:rPr>
          <w:rFonts w:ascii="Times New Roman" w:hAnsi="Times New Roman" w:cs="Times New Roman"/>
        </w:rPr>
        <w:t xml:space="preserve"> по налогу на имущество физических лиц исходя из кадастровой стоимости объекто</w:t>
      </w:r>
      <w:r w:rsidRPr="001F70FA">
        <w:rPr>
          <w:rFonts w:ascii="Times New Roman" w:hAnsi="Times New Roman" w:cs="Times New Roman"/>
        </w:rPr>
        <w:t>в налогообложения. Соответствующие решения об установлении налога приняты во всех муниципальных образованиях Республики Мордовия;</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7) </w:t>
      </w:r>
      <w:hyperlink r:id="rId25" w:history="1">
        <w:r w:rsidRPr="001F70FA">
          <w:rPr>
            <w:rStyle w:val="a4"/>
            <w:rFonts w:ascii="Times New Roman" w:hAnsi="Times New Roman" w:cs="Times New Roman"/>
            <w:color w:val="auto"/>
          </w:rPr>
          <w:t>Законом</w:t>
        </w:r>
      </w:hyperlink>
      <w:r w:rsidRPr="001F70FA">
        <w:rPr>
          <w:rFonts w:ascii="Times New Roman" w:hAnsi="Times New Roman" w:cs="Times New Roman"/>
        </w:rPr>
        <w:t xml:space="preserve"> Республики Мордовия от 28 ноября 2014 г. N 94-З "О внесении изменений в некоторы</w:t>
      </w:r>
      <w:r w:rsidRPr="001F70FA">
        <w:rPr>
          <w:rFonts w:ascii="Times New Roman" w:hAnsi="Times New Roman" w:cs="Times New Roman"/>
        </w:rPr>
        <w:t>е законы Республики Мордовия о налогах" проиндексированы ставки транспортного налога;</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 xml:space="preserve">8) </w:t>
      </w:r>
      <w:hyperlink r:id="rId26" w:history="1">
        <w:r w:rsidRPr="001F70FA">
          <w:rPr>
            <w:rStyle w:val="a4"/>
            <w:rFonts w:ascii="Times New Roman" w:hAnsi="Times New Roman" w:cs="Times New Roman"/>
            <w:color w:val="auto"/>
          </w:rPr>
          <w:t>приказом</w:t>
        </w:r>
      </w:hyperlink>
      <w:r w:rsidRPr="001F70FA">
        <w:rPr>
          <w:rFonts w:ascii="Times New Roman" w:hAnsi="Times New Roman" w:cs="Times New Roman"/>
        </w:rPr>
        <w:t xml:space="preserve"> Государственного комитета имущественных и земельных отношений Республики Мордовия от 27 ноября 2014 г. N 42 утверждены резу</w:t>
      </w:r>
      <w:r w:rsidRPr="001F70FA">
        <w:rPr>
          <w:rFonts w:ascii="Times New Roman" w:hAnsi="Times New Roman" w:cs="Times New Roman"/>
        </w:rPr>
        <w:t xml:space="preserve">льтаты государственной кадастровой оценки земельных участков в составе земель населенных пунктов на территории Республики Мордовия. </w:t>
      </w:r>
      <w:proofErr w:type="gramStart"/>
      <w:r w:rsidRPr="001F70FA">
        <w:rPr>
          <w:rFonts w:ascii="Times New Roman" w:hAnsi="Times New Roman" w:cs="Times New Roman"/>
        </w:rPr>
        <w:t>Новая кадастровая стоимость будет использоваться при расчете земельного налога;</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 xml:space="preserve">9) для повышения эффективности деятельности </w:t>
      </w:r>
      <w:r w:rsidRPr="001F70FA">
        <w:rPr>
          <w:rFonts w:ascii="Times New Roman" w:hAnsi="Times New Roman" w:cs="Times New Roman"/>
        </w:rPr>
        <w:t xml:space="preserve">по обеспечению правопорядка на территории Республики Мордовия, снижения количества дорожно-транспортных происшествий с 2014 года на территории Республики Мордовия в рамках реализации </w:t>
      </w:r>
      <w:hyperlink r:id="rId27" w:history="1">
        <w:r w:rsidRPr="001F70FA">
          <w:rPr>
            <w:rStyle w:val="a4"/>
            <w:rFonts w:ascii="Times New Roman" w:hAnsi="Times New Roman" w:cs="Times New Roman"/>
            <w:color w:val="auto"/>
          </w:rPr>
          <w:t>государственной программы</w:t>
        </w:r>
      </w:hyperlink>
      <w:r w:rsidRPr="001F70FA">
        <w:rPr>
          <w:rFonts w:ascii="Times New Roman" w:hAnsi="Times New Roman" w:cs="Times New Roman"/>
        </w:rPr>
        <w:t xml:space="preserve"> "Формиров</w:t>
      </w:r>
      <w:r w:rsidRPr="001F70FA">
        <w:rPr>
          <w:rFonts w:ascii="Times New Roman" w:hAnsi="Times New Roman" w:cs="Times New Roman"/>
        </w:rPr>
        <w:t xml:space="preserve">ание информационного общества в Республике Мордовия в период до 2018 года" внедрена система автоматической </w:t>
      </w:r>
      <w:proofErr w:type="spellStart"/>
      <w:r w:rsidRPr="001F70FA">
        <w:rPr>
          <w:rFonts w:ascii="Times New Roman" w:hAnsi="Times New Roman" w:cs="Times New Roman"/>
        </w:rPr>
        <w:t>фотовидеофиксации</w:t>
      </w:r>
      <w:proofErr w:type="spellEnd"/>
      <w:r w:rsidRPr="001F70FA">
        <w:rPr>
          <w:rFonts w:ascii="Times New Roman" w:hAnsi="Times New Roman" w:cs="Times New Roman"/>
        </w:rPr>
        <w:t xml:space="preserve"> нарушений </w:t>
      </w:r>
      <w:hyperlink r:id="rId28" w:history="1">
        <w:r w:rsidRPr="001F70FA">
          <w:rPr>
            <w:rStyle w:val="a4"/>
            <w:rFonts w:ascii="Times New Roman" w:hAnsi="Times New Roman" w:cs="Times New Roman"/>
            <w:color w:val="auto"/>
          </w:rPr>
          <w:t>правил</w:t>
        </w:r>
      </w:hyperlink>
      <w:r w:rsidRPr="001F70FA">
        <w:rPr>
          <w:rFonts w:ascii="Times New Roman" w:hAnsi="Times New Roman" w:cs="Times New Roman"/>
        </w:rPr>
        <w:t xml:space="preserve"> дорожного движения. Результатом этого также стало существенное увеличение по</w:t>
      </w:r>
      <w:r w:rsidRPr="001F70FA">
        <w:rPr>
          <w:rFonts w:ascii="Times New Roman" w:hAnsi="Times New Roman" w:cs="Times New Roman"/>
        </w:rPr>
        <w:t xml:space="preserve">ступлений в бюджет штрафов за нарушение </w:t>
      </w:r>
      <w:hyperlink r:id="rId29" w:history="1">
        <w:r w:rsidRPr="001F70FA">
          <w:rPr>
            <w:rStyle w:val="a4"/>
            <w:rFonts w:ascii="Times New Roman" w:hAnsi="Times New Roman" w:cs="Times New Roman"/>
            <w:color w:val="auto"/>
          </w:rPr>
          <w:t>законодательства</w:t>
        </w:r>
      </w:hyperlink>
      <w:r w:rsidRPr="001F70FA">
        <w:rPr>
          <w:rFonts w:ascii="Times New Roman" w:hAnsi="Times New Roman" w:cs="Times New Roman"/>
        </w:rPr>
        <w:t xml:space="preserve"> Российской Федерации о безопасности дорожного движения.</w:t>
      </w:r>
    </w:p>
    <w:p w:rsidR="00000000" w:rsidRPr="001F70FA" w:rsidRDefault="0065020B">
      <w:pPr>
        <w:rPr>
          <w:rFonts w:ascii="Times New Roman" w:hAnsi="Times New Roman" w:cs="Times New Roman"/>
        </w:rPr>
      </w:pPr>
    </w:p>
    <w:p w:rsidR="00000000" w:rsidRPr="001F70FA" w:rsidRDefault="0065020B">
      <w:pPr>
        <w:pStyle w:val="1"/>
        <w:rPr>
          <w:rFonts w:ascii="Times New Roman" w:hAnsi="Times New Roman" w:cs="Times New Roman"/>
          <w:color w:val="auto"/>
        </w:rPr>
      </w:pPr>
      <w:bookmarkStart w:id="6" w:name="sub_500"/>
      <w:r w:rsidRPr="001F70FA">
        <w:rPr>
          <w:rFonts w:ascii="Times New Roman" w:hAnsi="Times New Roman" w:cs="Times New Roman"/>
          <w:color w:val="auto"/>
        </w:rPr>
        <w:t>Основные изменения налогового законодательства, вступающие в силу, а также планируемые к принятию в</w:t>
      </w:r>
      <w:r w:rsidRPr="001F70FA">
        <w:rPr>
          <w:rFonts w:ascii="Times New Roman" w:hAnsi="Times New Roman" w:cs="Times New Roman"/>
          <w:color w:val="auto"/>
        </w:rPr>
        <w:t xml:space="preserve"> 2016 - 2018 годах</w:t>
      </w:r>
    </w:p>
    <w:bookmarkEnd w:id="6"/>
    <w:p w:rsidR="00000000" w:rsidRPr="001F70FA" w:rsidRDefault="0065020B">
      <w:pPr>
        <w:rPr>
          <w:rFonts w:ascii="Times New Roman" w:hAnsi="Times New Roman" w:cs="Times New Roman"/>
        </w:rPr>
      </w:pPr>
    </w:p>
    <w:p w:rsidR="00000000" w:rsidRPr="001F70FA" w:rsidRDefault="0065020B">
      <w:pPr>
        <w:rPr>
          <w:rFonts w:ascii="Times New Roman" w:hAnsi="Times New Roman" w:cs="Times New Roman"/>
        </w:rPr>
      </w:pPr>
      <w:r w:rsidRPr="001F70FA">
        <w:rPr>
          <w:rFonts w:ascii="Times New Roman" w:hAnsi="Times New Roman" w:cs="Times New Roman"/>
        </w:rPr>
        <w:t>1. На федеральном уровне:</w:t>
      </w:r>
    </w:p>
    <w:p w:rsidR="00000000" w:rsidRPr="001F70FA" w:rsidRDefault="0065020B">
      <w:pPr>
        <w:rPr>
          <w:rFonts w:ascii="Times New Roman" w:hAnsi="Times New Roman" w:cs="Times New Roman"/>
        </w:rPr>
      </w:pPr>
      <w:r w:rsidRPr="001F70FA">
        <w:rPr>
          <w:rFonts w:ascii="Times New Roman" w:hAnsi="Times New Roman" w:cs="Times New Roman"/>
        </w:rPr>
        <w:t xml:space="preserve">1) предусматривается предоставление субъектам Российской Федерации права на снижение до 10 процентов ставки налога на прибыль организаций в части, поступающей в бюджет субъекта Российской Федерации, для </w:t>
      </w:r>
      <w:r w:rsidRPr="001F70FA">
        <w:rPr>
          <w:rFonts w:ascii="Times New Roman" w:hAnsi="Times New Roman" w:cs="Times New Roman"/>
        </w:rPr>
        <w:t>вновь создаваемых предприятий промышленности, осуществляющих капитальные вложения.</w:t>
      </w:r>
    </w:p>
    <w:p w:rsidR="00000000" w:rsidRPr="001F70FA" w:rsidRDefault="0065020B">
      <w:pPr>
        <w:rPr>
          <w:rFonts w:ascii="Times New Roman" w:hAnsi="Times New Roman" w:cs="Times New Roman"/>
        </w:rPr>
      </w:pPr>
      <w:r w:rsidRPr="001F70FA">
        <w:rPr>
          <w:rFonts w:ascii="Times New Roman" w:hAnsi="Times New Roman" w:cs="Times New Roman"/>
        </w:rPr>
        <w:t xml:space="preserve">Механизм снижения налоговой ставки по налогу на прибыль организаций будет осуществляться в рамках механизма отбора инвестиционных проектов, уже установленного </w:t>
      </w:r>
      <w:hyperlink r:id="rId30" w:history="1">
        <w:r w:rsidRPr="001F70FA">
          <w:rPr>
            <w:rStyle w:val="a4"/>
            <w:rFonts w:ascii="Times New Roman" w:hAnsi="Times New Roman" w:cs="Times New Roman"/>
            <w:color w:val="auto"/>
          </w:rPr>
          <w:t>Налоговым кодексом</w:t>
        </w:r>
      </w:hyperlink>
      <w:r w:rsidRPr="001F70FA">
        <w:rPr>
          <w:rFonts w:ascii="Times New Roman" w:hAnsi="Times New Roman" w:cs="Times New Roman"/>
        </w:rPr>
        <w:t xml:space="preserve"> Российской Федерации в отношении региональных инвестиционных </w:t>
      </w:r>
      <w:r w:rsidRPr="001F70FA">
        <w:rPr>
          <w:rFonts w:ascii="Times New Roman" w:hAnsi="Times New Roman" w:cs="Times New Roman"/>
        </w:rPr>
        <w:lastRenderedPageBreak/>
        <w:t>проектов;</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2) </w:t>
      </w:r>
      <w:hyperlink r:id="rId31"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29 декабря 2014 г. N 477-ФЗ "О внесении изменений в часть вторую Налогового кодекс</w:t>
      </w:r>
      <w:r w:rsidRPr="001F70FA">
        <w:rPr>
          <w:rFonts w:ascii="Times New Roman" w:hAnsi="Times New Roman" w:cs="Times New Roman"/>
        </w:rPr>
        <w:t>а Российской Федерации" субъектам Российской Федерации предоставлено право устанавливать для впервые зарегистрированных индивидуальных предпринимателей, перешедших на упрощенную систему налогообложения и патентную систему налогообложения и осуществляющих д</w:t>
      </w:r>
      <w:r w:rsidRPr="001F70FA">
        <w:rPr>
          <w:rFonts w:ascii="Times New Roman" w:hAnsi="Times New Roman" w:cs="Times New Roman"/>
        </w:rPr>
        <w:t>еятельность в производственной, социальной и научной сферах "налоговые каникулы" в виде налоговой ставки в размере 0 процентов;</w:t>
      </w:r>
      <w:proofErr w:type="gramEnd"/>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3) </w:t>
      </w:r>
      <w:hyperlink r:id="rId32"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13 июля 2015 г. N 232-ФЗ "О внесении изменений в статью 12 части п</w:t>
      </w:r>
      <w:r w:rsidRPr="001F70FA">
        <w:rPr>
          <w:rFonts w:ascii="Times New Roman" w:hAnsi="Times New Roman" w:cs="Times New Roman"/>
        </w:rPr>
        <w:t>ервой и часть вторую Налогового кодекса Российской Федерации" предусматривается предоставление права субъектам Российской Федерации устанавливать по специальным режимам налогообложения виды предпринимательской деятельности, в отношении которых может примен</w:t>
      </w:r>
      <w:r w:rsidRPr="001F70FA">
        <w:rPr>
          <w:rFonts w:ascii="Times New Roman" w:hAnsi="Times New Roman" w:cs="Times New Roman"/>
        </w:rPr>
        <w:t>яться соответствующий специальный налоговой режим; ограничения на переход и применение специального налогового режима;</w:t>
      </w:r>
      <w:proofErr w:type="gramEnd"/>
      <w:r w:rsidRPr="001F70FA">
        <w:rPr>
          <w:rFonts w:ascii="Times New Roman" w:hAnsi="Times New Roman" w:cs="Times New Roman"/>
        </w:rPr>
        <w:t xml:space="preserve"> налоговые ставки в зависимости от видов предпринимательской деятельности и категорий налогоплательщиков; особенности определения налогово</w:t>
      </w:r>
      <w:r w:rsidRPr="001F70FA">
        <w:rPr>
          <w:rFonts w:ascii="Times New Roman" w:hAnsi="Times New Roman" w:cs="Times New Roman"/>
        </w:rPr>
        <w:t>й базы; налоговые льготы, а также основания и порядок их применения.</w:t>
      </w:r>
    </w:p>
    <w:p w:rsidR="00000000" w:rsidRPr="001F70FA" w:rsidRDefault="0065020B">
      <w:pPr>
        <w:rPr>
          <w:rFonts w:ascii="Times New Roman" w:hAnsi="Times New Roman" w:cs="Times New Roman"/>
        </w:rPr>
      </w:pPr>
      <w:r w:rsidRPr="001F70FA">
        <w:rPr>
          <w:rFonts w:ascii="Times New Roman" w:hAnsi="Times New Roman" w:cs="Times New Roman"/>
        </w:rPr>
        <w:t xml:space="preserve">Предоставлено субъектам Российской Федерации право снижать ставки налога для налогоплательщиков, применяющих </w:t>
      </w:r>
      <w:proofErr w:type="gramStart"/>
      <w:r w:rsidRPr="001F70FA">
        <w:rPr>
          <w:rFonts w:ascii="Times New Roman" w:hAnsi="Times New Roman" w:cs="Times New Roman"/>
        </w:rPr>
        <w:t>упрощенную</w:t>
      </w:r>
      <w:proofErr w:type="gramEnd"/>
      <w:r w:rsidRPr="001F70FA">
        <w:rPr>
          <w:rFonts w:ascii="Times New Roman" w:hAnsi="Times New Roman" w:cs="Times New Roman"/>
        </w:rPr>
        <w:t xml:space="preserve"> систем налогообложения с объектом налогообложения "доходы" с 6 до 1</w:t>
      </w:r>
      <w:r w:rsidRPr="001F70FA">
        <w:rPr>
          <w:rFonts w:ascii="Times New Roman" w:hAnsi="Times New Roman" w:cs="Times New Roman"/>
        </w:rPr>
        <w:t xml:space="preserve"> процента в зависимости от категорий налогоплательщиков и видов предпринимательской деятельности.</w:t>
      </w:r>
    </w:p>
    <w:p w:rsidR="00000000" w:rsidRPr="001F70FA" w:rsidRDefault="0065020B">
      <w:pPr>
        <w:rPr>
          <w:rFonts w:ascii="Times New Roman" w:hAnsi="Times New Roman" w:cs="Times New Roman"/>
        </w:rPr>
      </w:pPr>
      <w:r w:rsidRPr="001F70FA">
        <w:rPr>
          <w:rFonts w:ascii="Times New Roman" w:hAnsi="Times New Roman" w:cs="Times New Roman"/>
        </w:rPr>
        <w:t xml:space="preserve">Предоставлено право представительным органам муниципальных образований снижать ставки единого налога на вмененный доход с 15 до 7,5 процента в зависимости от </w:t>
      </w:r>
      <w:r w:rsidRPr="001F70FA">
        <w:rPr>
          <w:rFonts w:ascii="Times New Roman" w:hAnsi="Times New Roman" w:cs="Times New Roman"/>
        </w:rPr>
        <w:t>категорий.</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Кроме того предоставлено право субъектам Российской Федерации устанавливать налоговую ставку в размере 0 процентов для налогоплательщиков упрощенной системы налогообложения и патентной системы налогообложения, впервые зарегистрированных индивиду</w:t>
      </w:r>
      <w:r w:rsidRPr="001F70FA">
        <w:rPr>
          <w:rFonts w:ascii="Times New Roman" w:hAnsi="Times New Roman" w:cs="Times New Roman"/>
        </w:rPr>
        <w:t>альных предпринимателей, осуществляющих предпринимательскую деятельность в сфере бытовых услуг населению (в дополнение к производственной, социальной и (или) научной сферам).</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Также расширен перечень видов предпринимательской деятельности, которые могут быт</w:t>
      </w:r>
      <w:r w:rsidRPr="001F70FA">
        <w:rPr>
          <w:rFonts w:ascii="Times New Roman" w:hAnsi="Times New Roman" w:cs="Times New Roman"/>
        </w:rPr>
        <w:t>ь переведены на патентную систему налогообложения;</w:t>
      </w:r>
    </w:p>
    <w:p w:rsidR="00000000" w:rsidRPr="001F70FA" w:rsidRDefault="0065020B">
      <w:pPr>
        <w:rPr>
          <w:rFonts w:ascii="Times New Roman" w:hAnsi="Times New Roman" w:cs="Times New Roman"/>
        </w:rPr>
      </w:pPr>
      <w:r w:rsidRPr="001F70FA">
        <w:rPr>
          <w:rFonts w:ascii="Times New Roman" w:hAnsi="Times New Roman" w:cs="Times New Roman"/>
        </w:rPr>
        <w:t xml:space="preserve">4) предусматривается сохранение на 2016 и 2017 годы действующих ставок акцизов. На 2018 год предусматривается индексация ставок акцизов с учетом </w:t>
      </w:r>
      <w:hyperlink r:id="rId33" w:history="1">
        <w:r w:rsidRPr="001F70FA">
          <w:rPr>
            <w:rStyle w:val="a4"/>
            <w:rFonts w:ascii="Times New Roman" w:hAnsi="Times New Roman" w:cs="Times New Roman"/>
            <w:color w:val="auto"/>
          </w:rPr>
          <w:t>индекса потребительских цен</w:t>
        </w:r>
      </w:hyperlink>
      <w:r w:rsidRPr="001F70FA">
        <w:rPr>
          <w:rFonts w:ascii="Times New Roman" w:hAnsi="Times New Roman" w:cs="Times New Roman"/>
        </w:rPr>
        <w:t>;</w:t>
      </w:r>
    </w:p>
    <w:p w:rsidR="00000000" w:rsidRPr="001F70FA" w:rsidRDefault="0065020B">
      <w:pPr>
        <w:rPr>
          <w:rFonts w:ascii="Times New Roman" w:hAnsi="Times New Roman" w:cs="Times New Roman"/>
        </w:rPr>
      </w:pPr>
      <w:r w:rsidRPr="001F70FA">
        <w:rPr>
          <w:rFonts w:ascii="Times New Roman" w:hAnsi="Times New Roman" w:cs="Times New Roman"/>
        </w:rPr>
        <w:t xml:space="preserve">5) планируется включение в перечень налогоплательщиков, применяющих патентную систему налогообложения, осуществляющих отдельные виды предпринимательской деятельности </w:t>
      </w:r>
      <w:proofErr w:type="spellStart"/>
      <w:r w:rsidRPr="001F70FA">
        <w:rPr>
          <w:rFonts w:ascii="Times New Roman" w:hAnsi="Times New Roman" w:cs="Times New Roman"/>
        </w:rPr>
        <w:t>самозанятых</w:t>
      </w:r>
      <w:proofErr w:type="spellEnd"/>
      <w:r w:rsidRPr="001F70FA">
        <w:rPr>
          <w:rFonts w:ascii="Times New Roman" w:hAnsi="Times New Roman" w:cs="Times New Roman"/>
        </w:rPr>
        <w:t xml:space="preserve"> граждан - физических лиц, не работающих по трудовому договору или договору г</w:t>
      </w:r>
      <w:r w:rsidRPr="001F70FA">
        <w:rPr>
          <w:rFonts w:ascii="Times New Roman" w:hAnsi="Times New Roman" w:cs="Times New Roman"/>
        </w:rPr>
        <w:t>ражданско-правового характера и не имеющих наемных работников;</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6) согласно </w:t>
      </w:r>
      <w:hyperlink r:id="rId34" w:history="1">
        <w:r w:rsidRPr="001F70FA">
          <w:rPr>
            <w:rStyle w:val="a4"/>
            <w:rFonts w:ascii="Times New Roman" w:hAnsi="Times New Roman" w:cs="Times New Roman"/>
            <w:color w:val="auto"/>
          </w:rPr>
          <w:t>Федеральному закону</w:t>
        </w:r>
      </w:hyperlink>
      <w:r w:rsidRPr="001F70FA">
        <w:rPr>
          <w:rFonts w:ascii="Times New Roman" w:hAnsi="Times New Roman" w:cs="Times New Roman"/>
        </w:rPr>
        <w:t xml:space="preserve"> от 21 июля 2014 г. N 219-ФЗ "О внесении изменений в Федеральный закон "Об охране окружающей среды" и отдельные законодательны</w:t>
      </w:r>
      <w:r w:rsidRPr="001F70FA">
        <w:rPr>
          <w:rFonts w:ascii="Times New Roman" w:hAnsi="Times New Roman" w:cs="Times New Roman"/>
        </w:rPr>
        <w:t>е акты Российской Федерации" с 1 января 2016 г. отчетным периодом в отношении внесения платы за негативное воздействие на окружающую среду признается календарный год, а не квартал, как было установлено ранее.</w:t>
      </w:r>
      <w:proofErr w:type="gramEnd"/>
      <w:r w:rsidRPr="001F70FA">
        <w:rPr>
          <w:rFonts w:ascii="Times New Roman" w:hAnsi="Times New Roman" w:cs="Times New Roman"/>
        </w:rPr>
        <w:t xml:space="preserve"> В результате в 2016 году в бюджет поступит толь</w:t>
      </w:r>
      <w:r w:rsidRPr="001F70FA">
        <w:rPr>
          <w:rFonts w:ascii="Times New Roman" w:hAnsi="Times New Roman" w:cs="Times New Roman"/>
        </w:rPr>
        <w:t>ко плата за негативное воздействие на окружающую среду, исчисленная по итогам IV квартала 2015 г., платеж за 2016 год поступит в бюджет республики в 2017 году;</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7) в соответствии с </w:t>
      </w:r>
      <w:hyperlink r:id="rId35" w:history="1">
        <w:r w:rsidRPr="001F70FA">
          <w:rPr>
            <w:rStyle w:val="a4"/>
            <w:rFonts w:ascii="Times New Roman" w:hAnsi="Times New Roman" w:cs="Times New Roman"/>
            <w:color w:val="auto"/>
          </w:rPr>
          <w:t>Федеральным законом</w:t>
        </w:r>
      </w:hyperlink>
      <w:r w:rsidRPr="001F70FA">
        <w:rPr>
          <w:rFonts w:ascii="Times New Roman" w:hAnsi="Times New Roman" w:cs="Times New Roman"/>
        </w:rPr>
        <w:t xml:space="preserve"> от 29 июня 2012 г. N</w:t>
      </w:r>
      <w:r w:rsidRPr="001F70FA">
        <w:rPr>
          <w:rFonts w:ascii="Times New Roman" w:hAnsi="Times New Roman" w:cs="Times New Roman"/>
        </w:rPr>
        <w:t xml:space="preserve">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 1 января 2018 г. прекращает действие система налогообложения в виде единого налога на </w:t>
      </w:r>
      <w:r w:rsidRPr="001F70FA">
        <w:rPr>
          <w:rFonts w:ascii="Times New Roman" w:hAnsi="Times New Roman" w:cs="Times New Roman"/>
        </w:rPr>
        <w:t>вмененный доход для отдельных видов деятельности.</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2. На региональном уровне:</w:t>
      </w:r>
    </w:p>
    <w:p w:rsidR="00000000" w:rsidRPr="001F70FA" w:rsidRDefault="0065020B">
      <w:pPr>
        <w:rPr>
          <w:rFonts w:ascii="Times New Roman" w:hAnsi="Times New Roman" w:cs="Times New Roman"/>
        </w:rPr>
      </w:pPr>
      <w:proofErr w:type="gramStart"/>
      <w:r w:rsidRPr="001F70FA">
        <w:rPr>
          <w:rFonts w:ascii="Times New Roman" w:hAnsi="Times New Roman" w:cs="Times New Roman"/>
        </w:rPr>
        <w:t xml:space="preserve">1) на основании оценки эффективности налоговых льгот за 2014 год, установленных региональным законодательством, оптимизировать налоговые льготы и пониженные ставки по </w:t>
      </w:r>
      <w:r w:rsidRPr="001F70FA">
        <w:rPr>
          <w:rFonts w:ascii="Times New Roman" w:hAnsi="Times New Roman" w:cs="Times New Roman"/>
        </w:rPr>
        <w:lastRenderedPageBreak/>
        <w:t>налогам;</w:t>
      </w:r>
      <w:proofErr w:type="gramEnd"/>
    </w:p>
    <w:p w:rsidR="00000000" w:rsidRPr="001F70FA" w:rsidRDefault="0065020B">
      <w:pPr>
        <w:rPr>
          <w:rFonts w:ascii="Times New Roman" w:hAnsi="Times New Roman" w:cs="Times New Roman"/>
        </w:rPr>
      </w:pPr>
      <w:r w:rsidRPr="001F70FA">
        <w:rPr>
          <w:rFonts w:ascii="Times New Roman" w:hAnsi="Times New Roman" w:cs="Times New Roman"/>
        </w:rPr>
        <w:t xml:space="preserve">2) планируется пересмотреть ставки арендных платежей по </w:t>
      </w:r>
      <w:proofErr w:type="gramStart"/>
      <w:r w:rsidRPr="001F70FA">
        <w:rPr>
          <w:rFonts w:ascii="Times New Roman" w:hAnsi="Times New Roman" w:cs="Times New Roman"/>
        </w:rPr>
        <w:t>сдаваемом</w:t>
      </w:r>
      <w:proofErr w:type="gramEnd"/>
      <w:r w:rsidRPr="001F70FA">
        <w:rPr>
          <w:rFonts w:ascii="Times New Roman" w:hAnsi="Times New Roman" w:cs="Times New Roman"/>
        </w:rPr>
        <w:t xml:space="preserve"> в аренду имуществу;</w:t>
      </w:r>
    </w:p>
    <w:p w:rsidR="00000000" w:rsidRPr="001F70FA" w:rsidRDefault="0065020B">
      <w:pPr>
        <w:rPr>
          <w:rFonts w:ascii="Times New Roman" w:hAnsi="Times New Roman" w:cs="Times New Roman"/>
        </w:rPr>
      </w:pPr>
      <w:r w:rsidRPr="001F70FA">
        <w:rPr>
          <w:rFonts w:ascii="Times New Roman" w:hAnsi="Times New Roman" w:cs="Times New Roman"/>
        </w:rPr>
        <w:t>3) планируется увеличение поступлений части прибыли государственных унитарных предприятий, остающейся в распоряжении после уплаты налогов и иных обязательных платежей;</w:t>
      </w:r>
    </w:p>
    <w:p w:rsidR="00000000" w:rsidRPr="001F70FA" w:rsidRDefault="0065020B">
      <w:pPr>
        <w:rPr>
          <w:rFonts w:ascii="Times New Roman" w:hAnsi="Times New Roman" w:cs="Times New Roman"/>
        </w:rPr>
      </w:pPr>
      <w:r w:rsidRPr="001F70FA">
        <w:rPr>
          <w:rFonts w:ascii="Times New Roman" w:hAnsi="Times New Roman" w:cs="Times New Roman"/>
        </w:rPr>
        <w:t>4)</w:t>
      </w:r>
      <w:r w:rsidRPr="001F70FA">
        <w:rPr>
          <w:rFonts w:ascii="Times New Roman" w:hAnsi="Times New Roman" w:cs="Times New Roman"/>
        </w:rPr>
        <w:t xml:space="preserve"> в соответствии с </w:t>
      </w:r>
      <w:hyperlink r:id="rId36" w:history="1">
        <w:r w:rsidRPr="001F70FA">
          <w:rPr>
            <w:rStyle w:val="a4"/>
            <w:rFonts w:ascii="Times New Roman" w:hAnsi="Times New Roman" w:cs="Times New Roman"/>
            <w:color w:val="auto"/>
          </w:rPr>
          <w:t>Налоговым кодексом</w:t>
        </w:r>
      </w:hyperlink>
      <w:r w:rsidRPr="001F70FA">
        <w:rPr>
          <w:rFonts w:ascii="Times New Roman" w:hAnsi="Times New Roman" w:cs="Times New Roman"/>
        </w:rPr>
        <w:t xml:space="preserve"> Российской Федерации планируется принять закон Республики Мордовия, устанавливающий особенности определения налоговой базы, исходя из кадастровой стоимости в отношении административно</w:t>
      </w:r>
      <w:r w:rsidRPr="001F70FA">
        <w:rPr>
          <w:rFonts w:ascii="Times New Roman" w:hAnsi="Times New Roman" w:cs="Times New Roman"/>
        </w:rPr>
        <w:t>-деловых центров и торговых центров (комплексов) и помещений в них; нежилых помещений,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w:t>
      </w:r>
      <w:r w:rsidRPr="001F70FA">
        <w:rPr>
          <w:rFonts w:ascii="Times New Roman" w:hAnsi="Times New Roman" w:cs="Times New Roman"/>
        </w:rPr>
        <w:t>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000000" w:rsidRPr="001F70FA" w:rsidRDefault="0065020B">
      <w:pPr>
        <w:rPr>
          <w:rFonts w:ascii="Times New Roman" w:hAnsi="Times New Roman" w:cs="Times New Roman"/>
        </w:rPr>
      </w:pPr>
      <w:r w:rsidRPr="001F70FA">
        <w:rPr>
          <w:rFonts w:ascii="Times New Roman" w:hAnsi="Times New Roman" w:cs="Times New Roman"/>
        </w:rPr>
        <w:t>5) планируется расширение</w:t>
      </w:r>
      <w:r w:rsidRPr="001F70FA">
        <w:rPr>
          <w:rFonts w:ascii="Times New Roman" w:hAnsi="Times New Roman" w:cs="Times New Roman"/>
        </w:rPr>
        <w:t xml:space="preserve"> системы автоматической </w:t>
      </w:r>
      <w:proofErr w:type="spellStart"/>
      <w:r w:rsidRPr="001F70FA">
        <w:rPr>
          <w:rFonts w:ascii="Times New Roman" w:hAnsi="Times New Roman" w:cs="Times New Roman"/>
        </w:rPr>
        <w:t>фотовидеофиксации</w:t>
      </w:r>
      <w:proofErr w:type="spellEnd"/>
      <w:r w:rsidRPr="001F70FA">
        <w:rPr>
          <w:rFonts w:ascii="Times New Roman" w:hAnsi="Times New Roman" w:cs="Times New Roman"/>
        </w:rPr>
        <w:t xml:space="preserve"> нарушений правил дорожного движения на территории Республики Мордовия за счет </w:t>
      </w:r>
      <w:proofErr w:type="gramStart"/>
      <w:r w:rsidRPr="001F70FA">
        <w:rPr>
          <w:rFonts w:ascii="Times New Roman" w:hAnsi="Times New Roman" w:cs="Times New Roman"/>
        </w:rPr>
        <w:t xml:space="preserve">установки дополнительных комплексов автоматической фиксации нарушений </w:t>
      </w:r>
      <w:hyperlink r:id="rId37" w:history="1">
        <w:r w:rsidRPr="001F70FA">
          <w:rPr>
            <w:rStyle w:val="a4"/>
            <w:rFonts w:ascii="Times New Roman" w:hAnsi="Times New Roman" w:cs="Times New Roman"/>
            <w:color w:val="auto"/>
          </w:rPr>
          <w:t>правил</w:t>
        </w:r>
      </w:hyperlink>
      <w:r w:rsidRPr="001F70FA">
        <w:rPr>
          <w:rFonts w:ascii="Times New Roman" w:hAnsi="Times New Roman" w:cs="Times New Roman"/>
        </w:rPr>
        <w:t xml:space="preserve"> дорожного движения</w:t>
      </w:r>
      <w:proofErr w:type="gramEnd"/>
      <w:r w:rsidRPr="001F70FA">
        <w:rPr>
          <w:rFonts w:ascii="Times New Roman" w:hAnsi="Times New Roman" w:cs="Times New Roman"/>
        </w:rPr>
        <w:t>.</w:t>
      </w:r>
    </w:p>
    <w:p w:rsidR="0065020B" w:rsidRPr="001F70FA" w:rsidRDefault="0065020B">
      <w:pPr>
        <w:rPr>
          <w:rFonts w:ascii="Times New Roman" w:hAnsi="Times New Roman" w:cs="Times New Roman"/>
        </w:rPr>
      </w:pPr>
    </w:p>
    <w:sectPr w:rsidR="0065020B" w:rsidRPr="001F70F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FA"/>
    <w:rsid w:val="001F70FA"/>
    <w:rsid w:val="0065020B"/>
    <w:rsid w:val="00EF6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0" TargetMode="External"/><Relationship Id="rId13" Type="http://schemas.openxmlformats.org/officeDocument/2006/relationships/hyperlink" Target="garantF1://8953351.0" TargetMode="External"/><Relationship Id="rId18" Type="http://schemas.openxmlformats.org/officeDocument/2006/relationships/hyperlink" Target="garantF1://70654266.0" TargetMode="External"/><Relationship Id="rId26" Type="http://schemas.openxmlformats.org/officeDocument/2006/relationships/hyperlink" Target="garantF1://8951607.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garantF1://70654268.0" TargetMode="External"/><Relationship Id="rId34" Type="http://schemas.openxmlformats.org/officeDocument/2006/relationships/hyperlink" Target="garantF1://70600466.0" TargetMode="External"/><Relationship Id="rId7" Type="http://schemas.openxmlformats.org/officeDocument/2006/relationships/hyperlink" Target="garantF1://71046684.0" TargetMode="External"/><Relationship Id="rId12" Type="http://schemas.openxmlformats.org/officeDocument/2006/relationships/hyperlink" Target="garantF1://8930079.0" TargetMode="External"/><Relationship Id="rId17" Type="http://schemas.openxmlformats.org/officeDocument/2006/relationships/hyperlink" Target="garantF1://8954433.0" TargetMode="External"/><Relationship Id="rId25" Type="http://schemas.openxmlformats.org/officeDocument/2006/relationships/hyperlink" Target="garantF1://8953351.0" TargetMode="External"/><Relationship Id="rId33" Type="http://schemas.openxmlformats.org/officeDocument/2006/relationships/hyperlink" Target="garantF1://49900.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70704238.0" TargetMode="External"/><Relationship Id="rId20" Type="http://schemas.openxmlformats.org/officeDocument/2006/relationships/hyperlink" Target="garantF1://70600520.0" TargetMode="External"/><Relationship Id="rId29" Type="http://schemas.openxmlformats.org/officeDocument/2006/relationships/hyperlink" Target="garantF1://10005643.0" TargetMode="External"/><Relationship Id="rId1" Type="http://schemas.openxmlformats.org/officeDocument/2006/relationships/customXml" Target="../customXml/item1.xml"/><Relationship Id="rId6" Type="http://schemas.openxmlformats.org/officeDocument/2006/relationships/hyperlink" Target="garantF1://12012604.0" TargetMode="External"/><Relationship Id="rId11" Type="http://schemas.openxmlformats.org/officeDocument/2006/relationships/hyperlink" Target="garantF1://8929538.0" TargetMode="External"/><Relationship Id="rId24" Type="http://schemas.openxmlformats.org/officeDocument/2006/relationships/hyperlink" Target="garantF1://8951450.0" TargetMode="External"/><Relationship Id="rId32" Type="http://schemas.openxmlformats.org/officeDocument/2006/relationships/hyperlink" Target="garantF1://71027966.0" TargetMode="External"/><Relationship Id="rId37" Type="http://schemas.openxmlformats.org/officeDocument/2006/relationships/hyperlink" Target="garantF1://1205770.1000" TargetMode="External"/><Relationship Id="rId5" Type="http://schemas.openxmlformats.org/officeDocument/2006/relationships/webSettings" Target="webSettings.xml"/><Relationship Id="rId15" Type="http://schemas.openxmlformats.org/officeDocument/2006/relationships/hyperlink" Target="garantF1://10800200.0" TargetMode="External"/><Relationship Id="rId23" Type="http://schemas.openxmlformats.org/officeDocument/2006/relationships/hyperlink" Target="garantF1://10003120.0" TargetMode="External"/><Relationship Id="rId28" Type="http://schemas.openxmlformats.org/officeDocument/2006/relationships/hyperlink" Target="garantF1://1205770.1000" TargetMode="External"/><Relationship Id="rId36" Type="http://schemas.openxmlformats.org/officeDocument/2006/relationships/hyperlink" Target="garantF1://10800200.0" TargetMode="External"/><Relationship Id="rId10" Type="http://schemas.openxmlformats.org/officeDocument/2006/relationships/hyperlink" Target="garantF1://10800200.0" TargetMode="External"/><Relationship Id="rId19" Type="http://schemas.openxmlformats.org/officeDocument/2006/relationships/hyperlink" Target="garantF1://12012604.0" TargetMode="External"/><Relationship Id="rId31" Type="http://schemas.openxmlformats.org/officeDocument/2006/relationships/hyperlink" Target="garantF1://70731242.0" TargetMode="External"/><Relationship Id="rId4" Type="http://schemas.openxmlformats.org/officeDocument/2006/relationships/settings" Target="settings.xml"/><Relationship Id="rId9" Type="http://schemas.openxmlformats.org/officeDocument/2006/relationships/hyperlink" Target="garantF1://12025268.0" TargetMode="External"/><Relationship Id="rId14" Type="http://schemas.openxmlformats.org/officeDocument/2006/relationships/hyperlink" Target="garantF1://10080093.0" TargetMode="External"/><Relationship Id="rId22" Type="http://schemas.openxmlformats.org/officeDocument/2006/relationships/hyperlink" Target="garantF1://10800200.20032" TargetMode="External"/><Relationship Id="rId27" Type="http://schemas.openxmlformats.org/officeDocument/2006/relationships/hyperlink" Target="garantF1://8929089.1000" TargetMode="External"/><Relationship Id="rId30" Type="http://schemas.openxmlformats.org/officeDocument/2006/relationships/hyperlink" Target="garantF1://10800200.0" TargetMode="External"/><Relationship Id="rId35" Type="http://schemas.openxmlformats.org/officeDocument/2006/relationships/hyperlink" Target="garantF1://700947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C22C-6D83-4369-9AED-C006E14C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3287</Words>
  <Characters>18737</Characters>
  <Application>Microsoft Office Word</Application>
  <DocSecurity>0</DocSecurity>
  <Lines>156</Lines>
  <Paragraphs>43</Paragraphs>
  <ScaleCrop>false</ScaleCrop>
  <Company>НПП "Гарант-Сервис"</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Валентина Кривова</cp:lastModifiedBy>
  <cp:revision>3</cp:revision>
  <dcterms:created xsi:type="dcterms:W3CDTF">2016-04-19T09:30:00Z</dcterms:created>
  <dcterms:modified xsi:type="dcterms:W3CDTF">2016-04-19T09:35:00Z</dcterms:modified>
</cp:coreProperties>
</file>