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>УТВЕРЖДАЮ</w:t>
      </w:r>
    </w:p>
    <w:p w:rsidR="00682EC1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 xml:space="preserve">Начальник </w:t>
      </w:r>
      <w:r>
        <w:rPr>
          <w:rFonts w:ascii="Times New Roman" w:hAnsi="Times New Roman" w:cs="Times New Roman"/>
          <w:sz w:val="24"/>
          <w:szCs w:val="24"/>
        </w:rPr>
        <w:t>Межрайонной И</w:t>
      </w:r>
      <w:r w:rsidRPr="009B719A">
        <w:rPr>
          <w:rFonts w:ascii="Times New Roman" w:hAnsi="Times New Roman" w:cs="Times New Roman"/>
          <w:sz w:val="24"/>
          <w:szCs w:val="24"/>
        </w:rPr>
        <w:t>ФНС России</w:t>
      </w:r>
    </w:p>
    <w:p w:rsidR="00682EC1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 </w:t>
      </w:r>
      <w:r w:rsidRPr="00682EC1">
        <w:rPr>
          <w:rFonts w:ascii="Times New Roman" w:hAnsi="Times New Roman" w:cs="Times New Roman"/>
          <w:sz w:val="24"/>
          <w:szCs w:val="24"/>
        </w:rPr>
        <w:t>по Республике Мордовия,</w:t>
      </w:r>
    </w:p>
    <w:p w:rsidR="00682EC1" w:rsidRPr="009B719A" w:rsidRDefault="00682EC1" w:rsidP="00682EC1">
      <w:pPr>
        <w:pStyle w:val="a4"/>
        <w:widowControl w:val="0"/>
        <w:pBdr>
          <w:top w:val="single" w:sz="4" w:space="1" w:color="auto"/>
        </w:pBdr>
        <w:spacing w:after="0"/>
        <w:ind w:left="5376"/>
        <w:jc w:val="center"/>
        <w:rPr>
          <w:rFonts w:ascii="Times New Roman" w:hAnsi="Times New Roman" w:cs="Times New Roman"/>
          <w:szCs w:val="24"/>
        </w:rPr>
      </w:pPr>
      <w:r w:rsidRPr="009B719A">
        <w:rPr>
          <w:rFonts w:ascii="Times New Roman" w:hAnsi="Times New Roman" w:cs="Times New Roman"/>
          <w:szCs w:val="24"/>
        </w:rPr>
        <w:t xml:space="preserve"> (наименование)</w:t>
      </w:r>
    </w:p>
    <w:p w:rsidR="00682EC1" w:rsidRPr="002D1DE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B719A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А.П.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Кежватов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/</w:t>
      </w:r>
    </w:p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9B719A">
        <w:rPr>
          <w:rFonts w:ascii="Times New Roman" w:hAnsi="Times New Roman" w:cs="Times New Roman"/>
          <w:sz w:val="24"/>
          <w:szCs w:val="24"/>
        </w:rPr>
        <w:t>(</w:t>
      </w:r>
      <w:r w:rsidRPr="009B719A">
        <w:rPr>
          <w:rFonts w:ascii="Times New Roman" w:hAnsi="Times New Roman" w:cs="Times New Roman"/>
          <w:szCs w:val="24"/>
        </w:rPr>
        <w:t xml:space="preserve">подпись) </w:t>
      </w:r>
      <w:r>
        <w:rPr>
          <w:rFonts w:ascii="Times New Roman" w:hAnsi="Times New Roman" w:cs="Times New Roman"/>
          <w:szCs w:val="24"/>
        </w:rPr>
        <w:t xml:space="preserve">   </w:t>
      </w:r>
      <w:r w:rsidRPr="009B719A">
        <w:rPr>
          <w:rFonts w:ascii="Times New Roman" w:hAnsi="Times New Roman" w:cs="Times New Roman"/>
          <w:szCs w:val="24"/>
        </w:rPr>
        <w:t>(фамилия, инициалы)</w:t>
      </w:r>
    </w:p>
    <w:p w:rsidR="00682EC1" w:rsidRPr="009B719A" w:rsidRDefault="00682EC1" w:rsidP="00682EC1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  <w:r w:rsidRPr="009B719A">
        <w:rPr>
          <w:rFonts w:ascii="Times New Roman" w:hAnsi="Times New Roman" w:cs="Times New Roman"/>
          <w:sz w:val="24"/>
          <w:szCs w:val="24"/>
        </w:rPr>
        <w:t>от «_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B719A">
        <w:rPr>
          <w:rFonts w:ascii="Times New Roman" w:hAnsi="Times New Roman" w:cs="Times New Roman"/>
          <w:sz w:val="24"/>
          <w:szCs w:val="24"/>
        </w:rPr>
        <w:t>_» _________________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B719A">
        <w:rPr>
          <w:rFonts w:ascii="Times New Roman" w:hAnsi="Times New Roman" w:cs="Times New Roman"/>
          <w:sz w:val="24"/>
          <w:szCs w:val="24"/>
        </w:rPr>
        <w:t>г.</w:t>
      </w:r>
    </w:p>
    <w:p w:rsidR="005D2263" w:rsidRPr="009B719A" w:rsidRDefault="005D2263" w:rsidP="002805D8">
      <w:pPr>
        <w:pStyle w:val="a4"/>
        <w:widowControl w:val="0"/>
        <w:spacing w:after="0"/>
        <w:ind w:left="5376"/>
        <w:jc w:val="center"/>
        <w:rPr>
          <w:rFonts w:ascii="Times New Roman" w:hAnsi="Times New Roman" w:cs="Times New Roman"/>
          <w:sz w:val="24"/>
          <w:szCs w:val="24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5D2263" w:rsidRPr="00D267E0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67E0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682EC1" w:rsidRDefault="005D2263" w:rsidP="00682EC1">
      <w:pPr>
        <w:pStyle w:val="ab"/>
        <w:widowControl w:val="0"/>
      </w:pPr>
      <w:r w:rsidRPr="00D267E0">
        <w:t>государственного налогового инспектора</w:t>
      </w:r>
      <w:r w:rsidR="00682EC1">
        <w:t xml:space="preserve"> </w:t>
      </w:r>
    </w:p>
    <w:p w:rsidR="00682EC1" w:rsidRDefault="00682EC1" w:rsidP="00682EC1">
      <w:pPr>
        <w:pStyle w:val="ab"/>
        <w:widowControl w:val="0"/>
      </w:pPr>
      <w:r>
        <w:t xml:space="preserve">аналитического отдела Межрайонной инспекции </w:t>
      </w:r>
    </w:p>
    <w:p w:rsidR="005D2263" w:rsidRPr="00B93661" w:rsidRDefault="00682EC1" w:rsidP="00682EC1">
      <w:pPr>
        <w:pStyle w:val="ab"/>
        <w:widowControl w:val="0"/>
        <w:rPr>
          <w:rFonts w:cs="Times New Roman"/>
          <w:szCs w:val="28"/>
        </w:rPr>
      </w:pPr>
      <w:r>
        <w:t>Федеральной налоговой службы №1 по Республике Мордовия</w:t>
      </w:r>
    </w:p>
    <w:p w:rsidR="005D2263" w:rsidRDefault="005D2263" w:rsidP="00682EC1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0B69">
        <w:rPr>
          <w:rFonts w:ascii="Times New Roman" w:hAnsi="Times New Roman" w:cs="Times New Roman"/>
          <w:sz w:val="20"/>
          <w:szCs w:val="20"/>
        </w:rPr>
        <w:t xml:space="preserve">(наименование отдела инспекции Федеральной налоговой службы по району, району в городе, </w:t>
      </w:r>
      <w:proofErr w:type="gramEnd"/>
    </w:p>
    <w:p w:rsidR="005D2263" w:rsidRPr="00B10B69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69">
        <w:rPr>
          <w:rFonts w:ascii="Times New Roman" w:hAnsi="Times New Roman" w:cs="Times New Roman"/>
          <w:sz w:val="20"/>
          <w:szCs w:val="20"/>
        </w:rPr>
        <w:t>городу без районного деления, инспекции Федеральной налоговой службы межрайонного уровня)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государственной гражданской службы, </w:t>
      </w:r>
      <w:proofErr w:type="gramStart"/>
      <w:r w:rsidRPr="005E0CDD">
        <w:rPr>
          <w:rFonts w:ascii="Times New Roman" w:hAnsi="Times New Roman" w:cs="Times New Roman"/>
          <w:b/>
          <w:sz w:val="28"/>
          <w:szCs w:val="28"/>
        </w:rPr>
        <w:t>утвержденному</w:t>
      </w:r>
      <w:proofErr w:type="gramEnd"/>
      <w:r w:rsidRPr="005E0C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E0">
        <w:rPr>
          <w:rFonts w:ascii="Times New Roman" w:hAnsi="Times New Roman" w:cs="Times New Roman"/>
          <w:b/>
          <w:sz w:val="28"/>
          <w:szCs w:val="28"/>
        </w:rPr>
        <w:t>- 11-3-4-096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Pr="00B93661">
        <w:rPr>
          <w:rFonts w:ascii="Times New Roman" w:hAnsi="Times New Roman" w:cs="Times New Roman"/>
          <w:sz w:val="28"/>
          <w:szCs w:val="28"/>
        </w:rPr>
        <w:t>инспекции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 xml:space="preserve">№1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EC1">
        <w:rPr>
          <w:rFonts w:ascii="Times New Roman" w:hAnsi="Times New Roman" w:cs="Times New Roman"/>
          <w:sz w:val="28"/>
          <w:szCs w:val="28"/>
        </w:rPr>
        <w:t>Республике Мордовия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старшей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«специалисты».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>
        <w:rPr>
          <w:rFonts w:ascii="Times New Roman" w:hAnsi="Times New Roman" w:cs="Times New Roman"/>
          <w:sz w:val="28"/>
          <w:szCs w:val="28"/>
        </w:rPr>
        <w:t xml:space="preserve">Межрайонной </w:t>
      </w:r>
      <w:r w:rsidR="00D21FF8" w:rsidRPr="00B93661">
        <w:rPr>
          <w:rFonts w:ascii="Times New Roman" w:hAnsi="Times New Roman" w:cs="Times New Roman"/>
          <w:sz w:val="28"/>
          <w:szCs w:val="28"/>
        </w:rPr>
        <w:t>инспекции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Федеральной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налоговой</w:t>
      </w:r>
      <w:r w:rsidR="00D21FF8"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B93661">
        <w:rPr>
          <w:rFonts w:ascii="Times New Roman" w:hAnsi="Times New Roman" w:cs="Times New Roman"/>
          <w:sz w:val="28"/>
          <w:szCs w:val="28"/>
        </w:rPr>
        <w:t>службы</w:t>
      </w:r>
      <w:r w:rsidR="00D21FF8">
        <w:rPr>
          <w:rFonts w:ascii="Times New Roman" w:hAnsi="Times New Roman" w:cs="Times New Roman"/>
          <w:sz w:val="28"/>
          <w:szCs w:val="28"/>
        </w:rPr>
        <w:t xml:space="preserve"> №1 </w:t>
      </w:r>
      <w:r w:rsidR="00D21FF8" w:rsidRPr="00B93661">
        <w:rPr>
          <w:rFonts w:ascii="Times New Roman" w:hAnsi="Times New Roman" w:cs="Times New Roman"/>
          <w:sz w:val="28"/>
          <w:szCs w:val="28"/>
        </w:rPr>
        <w:t>по</w:t>
      </w:r>
      <w:r w:rsidR="00D21FF8">
        <w:rPr>
          <w:rFonts w:ascii="Times New Roman" w:hAnsi="Times New Roman" w:cs="Times New Roman"/>
          <w:sz w:val="28"/>
          <w:szCs w:val="28"/>
        </w:rPr>
        <w:t xml:space="preserve"> Республике Мордовия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инспекция).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начальнику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190F84" w:rsidRDefault="0000419E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 Квалификационные требования к уровню профессионального образования, </w:t>
      </w:r>
      <w:r w:rsidR="003E32D7">
        <w:rPr>
          <w:rFonts w:ascii="Times New Roman" w:hAnsi="Times New Roman" w:cs="Times New Roman"/>
          <w:b/>
          <w:sz w:val="28"/>
          <w:szCs w:val="28"/>
        </w:rPr>
        <w:t>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замещения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413">
        <w:rPr>
          <w:rFonts w:ascii="Times New Roman" w:hAnsi="Times New Roman" w:cs="Times New Roman"/>
          <w:sz w:val="28"/>
          <w:szCs w:val="28"/>
        </w:rPr>
        <w:t xml:space="preserve">наличие высшего образования </w:t>
      </w:r>
      <w:r w:rsidR="002805D8" w:rsidRPr="00331E91">
        <w:rPr>
          <w:rFonts w:ascii="Times New Roman" w:hAnsi="Times New Roman" w:cs="Times New Roman"/>
          <w:sz w:val="28"/>
          <w:szCs w:val="28"/>
        </w:rPr>
        <w:t>(требования к специальности, направлению подготовки указываются по решению представителя нанимателя)</w:t>
      </w:r>
      <w:r w:rsidR="00085413" w:rsidRPr="00331E91">
        <w:rPr>
          <w:rFonts w:ascii="Times New Roman" w:hAnsi="Times New Roman" w:cs="Times New Roman"/>
          <w:sz w:val="28"/>
          <w:szCs w:val="28"/>
        </w:rPr>
        <w:t>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3661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знаний,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конституционных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постановлений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регулирующих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конкретных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прохождения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методов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применением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автоматизированных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делопроизводства,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безопасности;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аппаратного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программного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возможностей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межведомственного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документооборота;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безопа</w:t>
      </w:r>
      <w:r>
        <w:rPr>
          <w:rFonts w:ascii="Times New Roman" w:hAnsi="Times New Roman" w:cs="Times New Roman"/>
          <w:sz w:val="28"/>
          <w:szCs w:val="28"/>
        </w:rPr>
        <w:t>сности;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в) наличие профессиональных умений, </w:t>
      </w:r>
      <w:r w:rsidRPr="00B93661">
        <w:rPr>
          <w:rFonts w:ascii="Times New Roman" w:hAnsi="Times New Roman" w:cs="Times New Roman"/>
          <w:sz w:val="28"/>
          <w:szCs w:val="28"/>
        </w:rPr>
        <w:t>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структурного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подразделения,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времени,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анализа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прогнозирования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сфере,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коллег,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A30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внутренними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периферийными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устройствами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информационно-коммуникационными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сетями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сетью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Интернет),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системе</w:t>
      </w:r>
      <w:proofErr w:type="gramEnd"/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текстовом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редакторе,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таблицами,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данных;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почтой;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презентаций,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графических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электронных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5D2263" w:rsidRPr="00B93661" w:rsidRDefault="005D2263" w:rsidP="002805D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 xml:space="preserve"> III. Должностные обязанности, права и ответственность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запреты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Положением о Федеральной налоговой службе, утвержденным постановлением Правительства Российской Федерации от 30 сентября 2004 г. № 506, положением 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Межрайонной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инспекции Федеральной налоговой службы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№1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>по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 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, утвержденным руководителем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Управления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Ф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едеральной налоговой службы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02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марта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20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г., положением об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аналитическом отделе,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>приказами (распоряжениями) ФНС России</w:t>
      </w:r>
      <w:proofErr w:type="gramEnd"/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, приказами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Управления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Ф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 xml:space="preserve">едеральной налоговой службы 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по </w:t>
      </w:r>
      <w:r w:rsidR="00D21FF8">
        <w:rPr>
          <w:rFonts w:ascii="Times New Roman" w:hAnsi="Times New Roman" w:cs="Times New Roman"/>
          <w:spacing w:val="-4"/>
          <w:sz w:val="28"/>
          <w:szCs w:val="28"/>
        </w:rPr>
        <w:t>Республике Мордовия</w:t>
      </w:r>
      <w:r w:rsidR="00D21FF8" w:rsidRPr="00725553">
        <w:rPr>
          <w:rFonts w:ascii="Times New Roman" w:hAnsi="Times New Roman" w:cs="Times New Roman"/>
          <w:spacing w:val="-4"/>
          <w:sz w:val="28"/>
          <w:szCs w:val="28"/>
        </w:rPr>
        <w:t xml:space="preserve"> (далее - управление), приказами инспекции, поручениями руководства инспекции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Обязанности государственного налогового инспектора: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-строго выполнять обязанности государственного служащего;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-знать и применять в практической деятельности действующее налоговое законодательство;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lastRenderedPageBreak/>
        <w:t>-организовывать делопроизводство в отделе, обеспечивать сохранность документов, ведение архива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-обеспечивать качественное и своевременное ведени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Pr="00586AB2">
        <w:rPr>
          <w:rFonts w:ascii="Times New Roman" w:hAnsi="Times New Roman" w:cs="Times New Roman"/>
          <w:sz w:val="28"/>
          <w:szCs w:val="28"/>
        </w:rPr>
        <w:t>заполнение)Информационных ресурсов по урегулированию задолженности и обеспечения процедур банкротства;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-обеспечивать надежное хранение и правильное использование полученной для работы информации, содержащей сведения, составляющие налоговую тайну;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-строго хранить и не разглашать налоговую тайну по вопросам, отнесенным к деятельности аналитического отдела, предусмотренным данной должностной инструкцией;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-хранить и не разглашать информацию, поступающую в инспекцию на магнитных носителях и в электронном виде, содержащую сведения, составляющие налоговую тайну;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 знать инструкции на рабочие места применительно технологии работы в системе ЭОД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-осуществлять составление, формирование и передачу на региональный уровень закрепленной налоговой статистической отчетности по предмету деятельности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-выполнять поручения начальника отдела и его заместителя, касающиеся служебной деятельности;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-во исполнение ст.9 ФЗ от 25.12.2008г.  «О противодействии коррупции», ч.2 ст.47 ФЗ-79 «О государственной гражданской службе РФ», начальник отдела, во всех случаях обращения к ней лиц, в целях склонения к совершению коррупционных правонарушений, уведомлять об этом представителя нанимателя, органы прокуратуры, другие государственные органы;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-иные обязанности, связанные с осуществлением деятельности отдела.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Права главного государственного налогового инспектора: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-выходить в установленном порядке с предложениями по совершенствованию законодательства по налогам, форм и методов работы аналитического отдела и налоговых органов, сбора налогов;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-работать с документами отделов Инспекции для выполнения, возложенных на отдел задач;</w:t>
      </w:r>
    </w:p>
    <w:p w:rsidR="005D2263" w:rsidRPr="00B93661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Управления ФНС России по РМ.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привлечен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B7E6A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6A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6A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самостоятельно принимать управленческие и иные решения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вопросам: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6AB2">
        <w:rPr>
          <w:rFonts w:ascii="Times New Roman" w:hAnsi="Times New Roman" w:cs="Times New Roman"/>
          <w:sz w:val="28"/>
          <w:szCs w:val="28"/>
        </w:rPr>
        <w:t xml:space="preserve"> соблюдением налогоплательщиками, плательщиками сборов и налоговыми агентами,  состоящими на учете в Инспекции, законодательства о налогах и сборах и принятых в соответствии с ним нормативных правовых актов, правильностью исчисления, полнотой и своевременностью внесения в соответствующие бюджеты налогов, сборов и иных обязательных платежей;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осуществление взаимодействия с правоохранительными органами и другими контролирующими органами по предмету деятельности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осуществление приема граждан и должностных лиц предприятий, учреждений и организаций;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участие в подготовке ответов на письменные запросы налогоплательщиков по вопросам, входящим в компетенцию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 xml:space="preserve">осуществлять 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AB2">
        <w:rPr>
          <w:rFonts w:ascii="Times New Roman" w:hAnsi="Times New Roman" w:cs="Times New Roman"/>
          <w:sz w:val="28"/>
          <w:szCs w:val="28"/>
        </w:rPr>
        <w:t xml:space="preserve"> своевременностью представления и качеством исполнения  установленной  отчетности;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осуществлять контроль по порядку ведения карточек расчетов с бюджетом, а также формировать техпроцессы и операции с целью проведения целевых зачетов внутри КРСБ, закрытия операционного дня, формирования документа выявления недоимки;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анализ поступлений налогов и сборов в бюджетную систему РФ, включая государственные внебюджетные фонды;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формирование предложений по улучшению деятельности инспекции по обеспечению своевременности и полноты поступлений в бюджет налогов и сборов;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разработка плана (прогноза) поступления налогов и сборов;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анализ выполнения задания по мобилизации налогов и сборов в бюджетную систему РФ и в государственные внебюджетные фонды;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сбор информации для составления отчетности;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анализ исходных данных, оценка возможности их использования для формирования отчетности;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настройка отчетов в системе ЭОД;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составление отчетов;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подготовка аналитической записки о поступлении налогов и сборов в бюджетную систему     РФ;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ab/>
        <w:t>- осуществлять ведение архива отдела;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соблюдать правила внутреннего трудового распорядка;</w:t>
      </w:r>
    </w:p>
    <w:p w:rsidR="005D2263" w:rsidRPr="00B93661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</w:t>
      </w:r>
      <w:r w:rsidRPr="00586AB2">
        <w:rPr>
          <w:rFonts w:ascii="Times New Roman" w:hAnsi="Times New Roman" w:cs="Times New Roman"/>
          <w:sz w:val="28"/>
          <w:szCs w:val="28"/>
        </w:rPr>
        <w:tab/>
        <w:t>выполнять, при необходимости, другие поручения начальника отдела, не     предусмотренные настоящими должностными инструкциями.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вопросам: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 xml:space="preserve">-осуществлению 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86AB2">
        <w:rPr>
          <w:rFonts w:ascii="Times New Roman" w:hAnsi="Times New Roman" w:cs="Times New Roman"/>
          <w:sz w:val="28"/>
          <w:szCs w:val="28"/>
        </w:rPr>
        <w:t xml:space="preserve"> полнотой и своевременностью внесения в бюджет и внебюджетные фонды налогов, платежей и сборов, неналоговых платежей, а также периодический анализ динамики изменения недоимки по предприятиям, индивидуальным предпринимателям и физическим лицам.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 xml:space="preserve">-своевременно осуществлять разноску платежей в КРСБ, а также осуществлять 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AB2">
        <w:rPr>
          <w:rFonts w:ascii="Times New Roman" w:hAnsi="Times New Roman" w:cs="Times New Roman"/>
          <w:sz w:val="28"/>
          <w:szCs w:val="28"/>
        </w:rPr>
        <w:t xml:space="preserve"> правильностью отражения платежей в  карточках  «РСБ».</w:t>
      </w:r>
    </w:p>
    <w:p w:rsidR="00586AB2" w:rsidRPr="00586AB2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lastRenderedPageBreak/>
        <w:t>-осуществлять уточнение платежей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D2263" w:rsidRPr="00B93661" w:rsidRDefault="00586AB2" w:rsidP="00586AB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-полноты, качества и своевременности заполнения ИР.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B7E6A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7E6A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государственный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7E6A">
        <w:rPr>
          <w:rFonts w:ascii="Times New Roman" w:hAnsi="Times New Roman" w:cs="Times New Roman"/>
          <w:b/>
          <w:sz w:val="28"/>
          <w:szCs w:val="28"/>
        </w:rPr>
        <w:t>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586AB2" w:rsidRPr="00586AB2">
        <w:rPr>
          <w:rFonts w:ascii="Times New Roman" w:hAnsi="Times New Roman" w:cs="Times New Roman"/>
          <w:sz w:val="28"/>
          <w:szCs w:val="28"/>
        </w:rPr>
        <w:t xml:space="preserve"> - вынесение решение по вопросам: осуществления уточнения платежей.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положений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отдела;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руководства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AC71ED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1ED">
        <w:rPr>
          <w:rFonts w:ascii="Times New Roman" w:hAnsi="Times New Roman" w:cs="Times New Roman"/>
          <w:b/>
          <w:sz w:val="28"/>
          <w:szCs w:val="28"/>
        </w:rPr>
        <w:t xml:space="preserve"> 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5D2263" w:rsidRPr="00B93661" w:rsidRDefault="005D2263" w:rsidP="002805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(Собрание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3196;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2007,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1531;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29,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3658),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61F0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6EF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</w:p>
    <w:p w:rsidR="005D2263" w:rsidRPr="00067746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6AB2" w:rsidRDefault="005D2263" w:rsidP="00586AB2">
      <w:pPr>
        <w:widowControl w:val="0"/>
        <w:spacing w:after="0" w:line="300" w:lineRule="exact"/>
        <w:ind w:firstLine="709"/>
        <w:jc w:val="both"/>
      </w:pPr>
      <w:r w:rsidRPr="00B93661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5A51" w:rsidRPr="00EF5A51">
        <w:rPr>
          <w:rFonts w:ascii="Times New Roman" w:hAnsi="Times New Roman" w:cs="Times New Roman"/>
          <w:sz w:val="28"/>
          <w:szCs w:val="28"/>
        </w:rPr>
        <w:t>П</w:t>
      </w:r>
      <w:r w:rsidRPr="00EF5A51">
        <w:rPr>
          <w:rFonts w:ascii="Times New Roman" w:hAnsi="Times New Roman" w:cs="Times New Roman"/>
          <w:sz w:val="28"/>
          <w:szCs w:val="28"/>
        </w:rPr>
        <w:t>олный перечень ок</w:t>
      </w:r>
      <w:r w:rsidR="00EF5A51">
        <w:rPr>
          <w:rFonts w:ascii="Times New Roman" w:hAnsi="Times New Roman" w:cs="Times New Roman"/>
          <w:sz w:val="28"/>
          <w:szCs w:val="28"/>
        </w:rPr>
        <w:t>азываемых государственных услуг:</w:t>
      </w:r>
    </w:p>
    <w:p w:rsidR="00586AB2" w:rsidRPr="00586AB2" w:rsidRDefault="00586AB2" w:rsidP="00586AB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lastRenderedPageBreak/>
        <w:t>-бесплатное информирование налогоплательщиков на основании обращений в устной</w:t>
      </w:r>
      <w:r w:rsidR="00EF5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86AB2">
        <w:rPr>
          <w:rFonts w:ascii="Times New Roman" w:hAnsi="Times New Roman" w:cs="Times New Roman"/>
          <w:sz w:val="28"/>
          <w:szCs w:val="28"/>
        </w:rPr>
        <w:t>(письменной</w:t>
      </w:r>
      <w:proofErr w:type="gramStart"/>
      <w:r w:rsidRPr="00586AB2">
        <w:rPr>
          <w:rFonts w:ascii="Times New Roman" w:hAnsi="Times New Roman" w:cs="Times New Roman"/>
          <w:sz w:val="28"/>
          <w:szCs w:val="28"/>
        </w:rPr>
        <w:t>)ф</w:t>
      </w:r>
      <w:proofErr w:type="gramEnd"/>
      <w:r w:rsidRPr="00586AB2">
        <w:rPr>
          <w:rFonts w:ascii="Times New Roman" w:hAnsi="Times New Roman" w:cs="Times New Roman"/>
          <w:sz w:val="28"/>
          <w:szCs w:val="28"/>
        </w:rPr>
        <w:t>орме:</w:t>
      </w:r>
    </w:p>
    <w:p w:rsidR="00586AB2" w:rsidRPr="00586AB2" w:rsidRDefault="00586AB2" w:rsidP="00586AB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 налогах и сборах, законодательстве о налогах и сборах и принятых в соответствии с ним нормативных правовых актах;</w:t>
      </w:r>
    </w:p>
    <w:p w:rsidR="00586AB2" w:rsidRPr="00586AB2" w:rsidRDefault="00586AB2" w:rsidP="00586AB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 полномочиях налоговых органов и их должностных лиц;</w:t>
      </w:r>
    </w:p>
    <w:p w:rsidR="005D2263" w:rsidRPr="00B93661" w:rsidRDefault="00586AB2" w:rsidP="00586AB2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AB2">
        <w:rPr>
          <w:rFonts w:ascii="Times New Roman" w:hAnsi="Times New Roman" w:cs="Times New Roman"/>
          <w:sz w:val="28"/>
          <w:szCs w:val="28"/>
        </w:rPr>
        <w:t>-о порядке исчисления и уплаты налогов и сборов, правах и обязанностях налогоплательщиков.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5E0CDD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</w:p>
    <w:p w:rsidR="005D2263" w:rsidRPr="00B93661" w:rsidRDefault="005D2263" w:rsidP="00FE2446">
      <w:pPr>
        <w:widowControl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налогового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инспектора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5D2263" w:rsidRPr="00B93661" w:rsidRDefault="005D2263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действий.</w:t>
      </w:r>
    </w:p>
    <w:p w:rsidR="009C3468" w:rsidRDefault="009C3468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3468" w:rsidRDefault="009C3468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5A51" w:rsidRPr="00B93661" w:rsidRDefault="00EF5A51" w:rsidP="00FE2446">
      <w:pPr>
        <w:widowControl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2263" w:rsidRPr="00B93661" w:rsidRDefault="005D2263" w:rsidP="00FE2446">
      <w:pPr>
        <w:pStyle w:val="a4"/>
        <w:widowControl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FF8">
        <w:rPr>
          <w:rFonts w:ascii="Times New Roman" w:hAnsi="Times New Roman" w:cs="Times New Roman"/>
          <w:sz w:val="28"/>
          <w:szCs w:val="28"/>
        </w:rPr>
        <w:t xml:space="preserve">аналитического </w:t>
      </w:r>
      <w:r w:rsidRPr="00B93661">
        <w:rPr>
          <w:rFonts w:ascii="Times New Roman" w:hAnsi="Times New Roman" w:cs="Times New Roman"/>
          <w:sz w:val="28"/>
          <w:szCs w:val="28"/>
        </w:rPr>
        <w:t>отдела</w:t>
      </w:r>
      <w:r w:rsidR="00D21FF8">
        <w:rPr>
          <w:rFonts w:ascii="Times New Roman" w:hAnsi="Times New Roman" w:cs="Times New Roman"/>
          <w:sz w:val="28"/>
          <w:szCs w:val="28"/>
        </w:rPr>
        <w:t xml:space="preserve">                                                  /С.В. </w:t>
      </w:r>
      <w:proofErr w:type="spellStart"/>
      <w:r w:rsidR="00D21FF8">
        <w:rPr>
          <w:rFonts w:ascii="Times New Roman" w:hAnsi="Times New Roman" w:cs="Times New Roman"/>
          <w:sz w:val="28"/>
          <w:szCs w:val="28"/>
        </w:rPr>
        <w:t>Беляйкина</w:t>
      </w:r>
      <w:proofErr w:type="spellEnd"/>
      <w:r w:rsidR="00D21FF8">
        <w:rPr>
          <w:rFonts w:ascii="Times New Roman" w:hAnsi="Times New Roman" w:cs="Times New Roman"/>
          <w:sz w:val="28"/>
          <w:szCs w:val="28"/>
        </w:rPr>
        <w:t>/</w:t>
      </w:r>
    </w:p>
    <w:p w:rsidR="005D2263" w:rsidRDefault="00D21FF8" w:rsidP="00D21FF8">
      <w:pPr>
        <w:pStyle w:val="a4"/>
        <w:widowControl w:val="0"/>
        <w:pBdr>
          <w:top w:val="single" w:sz="4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r w:rsidR="005D2263">
        <w:rPr>
          <w:rFonts w:ascii="Times New Roman" w:hAnsi="Times New Roman" w:cs="Times New Roman"/>
          <w:szCs w:val="28"/>
        </w:rPr>
        <w:t xml:space="preserve">(наименование отдела инспекции)                          </w:t>
      </w:r>
      <w:r w:rsidR="005D2263">
        <w:rPr>
          <w:rFonts w:ascii="Times New Roman" w:hAnsi="Times New Roman" w:cs="Times New Roman"/>
          <w:szCs w:val="28"/>
        </w:rPr>
        <w:tab/>
        <w:t xml:space="preserve"> (подпись)</w:t>
      </w:r>
      <w:r w:rsidR="005D2263">
        <w:rPr>
          <w:rFonts w:ascii="Times New Roman" w:hAnsi="Times New Roman" w:cs="Times New Roman"/>
          <w:sz w:val="28"/>
          <w:szCs w:val="28"/>
        </w:rPr>
        <w:br w:type="page"/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5D2263" w:rsidRPr="00B93661" w:rsidRDefault="005D2263" w:rsidP="002805D8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47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807"/>
        <w:gridCol w:w="2040"/>
        <w:gridCol w:w="2160"/>
      </w:tblGrid>
      <w:tr w:rsidR="005D2263" w:rsidRPr="000B7E6A" w:rsidTr="004F45DD">
        <w:trPr>
          <w:trHeight w:val="240"/>
        </w:trPr>
        <w:tc>
          <w:tcPr>
            <w:tcW w:w="84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Фамилия, имя,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отчество</w:t>
            </w:r>
          </w:p>
        </w:tc>
        <w:tc>
          <w:tcPr>
            <w:tcW w:w="2807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роспись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ознакомлении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с должностным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регламентом 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в получении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его копии</w:t>
            </w:r>
          </w:p>
        </w:tc>
        <w:tc>
          <w:tcPr>
            <w:tcW w:w="204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приказа о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назначении на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должность</w:t>
            </w:r>
          </w:p>
        </w:tc>
        <w:tc>
          <w:tcPr>
            <w:tcW w:w="2160" w:type="dxa"/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Дата и номер приказа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об освобождении</w:t>
            </w:r>
            <w:r w:rsidR="009C346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0B7E6A">
              <w:rPr>
                <w:rFonts w:ascii="Times New Roman" w:hAnsi="Times New Roman" w:cs="Times New Roman"/>
                <w:sz w:val="24"/>
                <w:szCs w:val="28"/>
              </w:rPr>
              <w:t>от должности</w:t>
            </w:r>
          </w:p>
        </w:tc>
      </w:tr>
      <w:tr w:rsidR="005D2263" w:rsidRPr="000B7E6A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D2263" w:rsidRPr="000B7E6A" w:rsidTr="004F45DD">
        <w:trPr>
          <w:trHeight w:val="240"/>
        </w:trPr>
        <w:tc>
          <w:tcPr>
            <w:tcW w:w="8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07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5D2263" w:rsidRPr="000B7E6A" w:rsidRDefault="005D2263" w:rsidP="002805D8">
            <w:pPr>
              <w:pStyle w:val="a4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D2263" w:rsidRDefault="005D2263" w:rsidP="002805D8">
      <w:pPr>
        <w:pStyle w:val="a4"/>
        <w:widowControl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D2263" w:rsidRDefault="005D2263" w:rsidP="002805D8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5D2263" w:rsidSect="005704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2BE" w:rsidRDefault="009472BE" w:rsidP="001A444F">
      <w:pPr>
        <w:spacing w:after="0" w:line="240" w:lineRule="auto"/>
      </w:pPr>
      <w:r>
        <w:separator/>
      </w:r>
    </w:p>
  </w:endnote>
  <w:endnote w:type="continuationSeparator" w:id="0">
    <w:p w:rsidR="009472BE" w:rsidRDefault="009472BE" w:rsidP="001A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BE" w:rsidRDefault="009472BE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BE" w:rsidRPr="001317FD" w:rsidRDefault="009472BE" w:rsidP="001C35D7">
    <w:pPr>
      <w:pStyle w:val="ae"/>
      <w:rPr>
        <w:rFonts w:ascii="Arial" w:hAnsi="Arial" w:cs="Arial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BE" w:rsidRPr="001317FD" w:rsidRDefault="009472BE" w:rsidP="00124EFA">
    <w:pPr>
      <w:pStyle w:val="ae"/>
      <w:rPr>
        <w:rFonts w:ascii="Arial" w:hAnsi="Arial" w:cs="Arial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2BE" w:rsidRDefault="009472BE" w:rsidP="001A444F">
      <w:pPr>
        <w:spacing w:after="0" w:line="240" w:lineRule="auto"/>
      </w:pPr>
      <w:r>
        <w:separator/>
      </w:r>
    </w:p>
  </w:footnote>
  <w:footnote w:type="continuationSeparator" w:id="0">
    <w:p w:rsidR="009472BE" w:rsidRDefault="009472BE" w:rsidP="001A4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BE" w:rsidRDefault="009472B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9840976"/>
      <w:docPartObj>
        <w:docPartGallery w:val="Page Numbers (Top of Page)"/>
        <w:docPartUnique/>
      </w:docPartObj>
    </w:sdtPr>
    <w:sdtEndPr/>
    <w:sdtContent>
      <w:p w:rsidR="009472BE" w:rsidRDefault="009472B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A51">
          <w:rPr>
            <w:noProof/>
          </w:rPr>
          <w:t>7</w:t>
        </w:r>
        <w:r>
          <w:fldChar w:fldCharType="end"/>
        </w:r>
      </w:p>
    </w:sdtContent>
  </w:sdt>
  <w:p w:rsidR="009472BE" w:rsidRPr="00124EFA" w:rsidRDefault="009472BE">
    <w:pPr>
      <w:pStyle w:val="ac"/>
      <w:rPr>
        <w:rFonts w:ascii="Times New Roman" w:hAnsi="Times New Roman" w:cs="Times New Roman"/>
        <w:i/>
        <w:color w:val="999999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2BE" w:rsidRDefault="009472BE" w:rsidP="005704B0">
    <w:pPr>
      <w:pStyle w:val="ac"/>
    </w:pPr>
  </w:p>
  <w:p w:rsidR="009472BE" w:rsidRDefault="009472B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A6B"/>
    <w:rsid w:val="00001417"/>
    <w:rsid w:val="0000419E"/>
    <w:rsid w:val="00022E1F"/>
    <w:rsid w:val="000303D9"/>
    <w:rsid w:val="00047E3A"/>
    <w:rsid w:val="00085413"/>
    <w:rsid w:val="00090888"/>
    <w:rsid w:val="000A5A6B"/>
    <w:rsid w:val="000D6DB3"/>
    <w:rsid w:val="000E3E5E"/>
    <w:rsid w:val="00100FB9"/>
    <w:rsid w:val="0012365E"/>
    <w:rsid w:val="00124EFA"/>
    <w:rsid w:val="001317FD"/>
    <w:rsid w:val="00136C29"/>
    <w:rsid w:val="00155008"/>
    <w:rsid w:val="0015777A"/>
    <w:rsid w:val="00162F3C"/>
    <w:rsid w:val="00183991"/>
    <w:rsid w:val="001A2FCC"/>
    <w:rsid w:val="001A444F"/>
    <w:rsid w:val="001C35D7"/>
    <w:rsid w:val="001F5445"/>
    <w:rsid w:val="00212109"/>
    <w:rsid w:val="00224407"/>
    <w:rsid w:val="002369C4"/>
    <w:rsid w:val="002553AB"/>
    <w:rsid w:val="002805D8"/>
    <w:rsid w:val="002C0581"/>
    <w:rsid w:val="002D1DEA"/>
    <w:rsid w:val="00331E91"/>
    <w:rsid w:val="00342EF8"/>
    <w:rsid w:val="003821E8"/>
    <w:rsid w:val="003A0192"/>
    <w:rsid w:val="003C148D"/>
    <w:rsid w:val="003E32D7"/>
    <w:rsid w:val="00431BC8"/>
    <w:rsid w:val="00470DA5"/>
    <w:rsid w:val="00477F4B"/>
    <w:rsid w:val="004D39EC"/>
    <w:rsid w:val="004F45DD"/>
    <w:rsid w:val="00521192"/>
    <w:rsid w:val="0053266E"/>
    <w:rsid w:val="005704B0"/>
    <w:rsid w:val="00577C26"/>
    <w:rsid w:val="00586AB2"/>
    <w:rsid w:val="005871FD"/>
    <w:rsid w:val="005A16C8"/>
    <w:rsid w:val="005C6182"/>
    <w:rsid w:val="005D2263"/>
    <w:rsid w:val="005F2B43"/>
    <w:rsid w:val="005F5C81"/>
    <w:rsid w:val="006049CD"/>
    <w:rsid w:val="006154DF"/>
    <w:rsid w:val="00626E71"/>
    <w:rsid w:val="00630CCF"/>
    <w:rsid w:val="0066177B"/>
    <w:rsid w:val="00682EC1"/>
    <w:rsid w:val="006A33E7"/>
    <w:rsid w:val="006A5133"/>
    <w:rsid w:val="006A600D"/>
    <w:rsid w:val="006B2B60"/>
    <w:rsid w:val="006B772D"/>
    <w:rsid w:val="006E377E"/>
    <w:rsid w:val="00700BC1"/>
    <w:rsid w:val="007161F0"/>
    <w:rsid w:val="00765B5F"/>
    <w:rsid w:val="00777E32"/>
    <w:rsid w:val="007A5C64"/>
    <w:rsid w:val="007B706C"/>
    <w:rsid w:val="007C2326"/>
    <w:rsid w:val="00810E4A"/>
    <w:rsid w:val="008173C5"/>
    <w:rsid w:val="00817E99"/>
    <w:rsid w:val="00845929"/>
    <w:rsid w:val="008606DB"/>
    <w:rsid w:val="00860F20"/>
    <w:rsid w:val="00883238"/>
    <w:rsid w:val="00886DBF"/>
    <w:rsid w:val="008D318B"/>
    <w:rsid w:val="008D7B64"/>
    <w:rsid w:val="008E3E89"/>
    <w:rsid w:val="00906C72"/>
    <w:rsid w:val="00921746"/>
    <w:rsid w:val="00943BA4"/>
    <w:rsid w:val="009472BE"/>
    <w:rsid w:val="00995E36"/>
    <w:rsid w:val="009C3468"/>
    <w:rsid w:val="009C7D9D"/>
    <w:rsid w:val="009D421B"/>
    <w:rsid w:val="00A82D60"/>
    <w:rsid w:val="00AC32E9"/>
    <w:rsid w:val="00AD7183"/>
    <w:rsid w:val="00B229D6"/>
    <w:rsid w:val="00B321E7"/>
    <w:rsid w:val="00B43670"/>
    <w:rsid w:val="00B578E0"/>
    <w:rsid w:val="00B6077E"/>
    <w:rsid w:val="00B6355E"/>
    <w:rsid w:val="00B74304"/>
    <w:rsid w:val="00B758F8"/>
    <w:rsid w:val="00BA4D17"/>
    <w:rsid w:val="00BB0DDB"/>
    <w:rsid w:val="00BE1A1D"/>
    <w:rsid w:val="00BE3E01"/>
    <w:rsid w:val="00BF2BF4"/>
    <w:rsid w:val="00C02918"/>
    <w:rsid w:val="00C215AC"/>
    <w:rsid w:val="00CA301E"/>
    <w:rsid w:val="00CB77B5"/>
    <w:rsid w:val="00CC08E5"/>
    <w:rsid w:val="00CD25E8"/>
    <w:rsid w:val="00CE34DC"/>
    <w:rsid w:val="00CE4A93"/>
    <w:rsid w:val="00D17CD0"/>
    <w:rsid w:val="00D21FF8"/>
    <w:rsid w:val="00D32476"/>
    <w:rsid w:val="00D64955"/>
    <w:rsid w:val="00DB4D97"/>
    <w:rsid w:val="00DC5184"/>
    <w:rsid w:val="00E33C2F"/>
    <w:rsid w:val="00EC2CB7"/>
    <w:rsid w:val="00EC4259"/>
    <w:rsid w:val="00EE28DE"/>
    <w:rsid w:val="00EF5A51"/>
    <w:rsid w:val="00F1194B"/>
    <w:rsid w:val="00F30D9B"/>
    <w:rsid w:val="00F524DE"/>
    <w:rsid w:val="00F83571"/>
    <w:rsid w:val="00F91C57"/>
    <w:rsid w:val="00F93E5E"/>
    <w:rsid w:val="00F97CF0"/>
    <w:rsid w:val="00FB4A30"/>
    <w:rsid w:val="00FC5743"/>
    <w:rsid w:val="00FE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DC"/>
  </w:style>
  <w:style w:type="paragraph" w:styleId="1">
    <w:name w:val="heading 1"/>
    <w:basedOn w:val="a"/>
    <w:next w:val="a"/>
    <w:link w:val="10"/>
    <w:uiPriority w:val="9"/>
    <w:qFormat/>
    <w:rsid w:val="00765B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154DF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6154D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6154D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154D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154D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15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154D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54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6154D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6154D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65B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регл тно"/>
    <w:basedOn w:val="1"/>
    <w:autoRedefine/>
    <w:qFormat/>
    <w:rsid w:val="00DB4D97"/>
    <w:pPr>
      <w:spacing w:before="0" w:line="240" w:lineRule="auto"/>
      <w:jc w:val="center"/>
    </w:pPr>
    <w:rPr>
      <w:rFonts w:ascii="Times New Roman" w:hAnsi="Times New Roman"/>
      <w:b/>
      <w:color w:val="auto"/>
      <w:sz w:val="28"/>
    </w:rPr>
  </w:style>
  <w:style w:type="paragraph" w:styleId="ac">
    <w:name w:val="header"/>
    <w:basedOn w:val="a"/>
    <w:link w:val="ad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A444F"/>
  </w:style>
  <w:style w:type="paragraph" w:styleId="ae">
    <w:name w:val="footer"/>
    <w:basedOn w:val="a"/>
    <w:link w:val="af"/>
    <w:uiPriority w:val="99"/>
    <w:unhideWhenUsed/>
    <w:rsid w:val="001A4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444F"/>
  </w:style>
  <w:style w:type="paragraph" w:styleId="af0">
    <w:name w:val="footnote text"/>
    <w:basedOn w:val="a"/>
    <w:link w:val="af1"/>
    <w:uiPriority w:val="99"/>
    <w:semiHidden/>
    <w:unhideWhenUsed/>
    <w:rsid w:val="00995E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95E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95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4015D-9A53-4451-A62C-45B08EFD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2174</Words>
  <Characters>12392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 </cp:lastModifiedBy>
  <cp:revision>2</cp:revision>
  <cp:lastPrinted>2017-02-17T06:02:00Z</cp:lastPrinted>
  <dcterms:created xsi:type="dcterms:W3CDTF">2017-02-17T06:04:00Z</dcterms:created>
  <dcterms:modified xsi:type="dcterms:W3CDTF">2017-02-17T06:04:00Z</dcterms:modified>
</cp:coreProperties>
</file>