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5DA" w:rsidRPr="0054656C" w:rsidRDefault="00C125DA">
      <w:pPr>
        <w:pStyle w:val="ConsPlusNormal0"/>
        <w:jc w:val="both"/>
        <w:outlineLvl w:val="0"/>
      </w:pPr>
    </w:p>
    <w:p w:rsidR="00C125DA" w:rsidRPr="0054656C" w:rsidRDefault="00C125DA">
      <w:pPr>
        <w:pStyle w:val="ConsPlusNormal0"/>
        <w:jc w:val="both"/>
      </w:pPr>
    </w:p>
    <w:p w:rsidR="00C125DA" w:rsidRPr="0054656C" w:rsidRDefault="005716D2">
      <w:pPr>
        <w:pStyle w:val="ConsPlusTitle0"/>
        <w:jc w:val="center"/>
      </w:pPr>
      <w:r w:rsidRPr="0054656C">
        <w:t>ЗАКОН</w:t>
      </w:r>
    </w:p>
    <w:p w:rsidR="00C125DA" w:rsidRPr="0054656C" w:rsidRDefault="00C125DA">
      <w:pPr>
        <w:pStyle w:val="ConsPlusTitle0"/>
        <w:jc w:val="center"/>
      </w:pPr>
    </w:p>
    <w:p w:rsidR="00C125DA" w:rsidRPr="0054656C" w:rsidRDefault="005716D2">
      <w:pPr>
        <w:pStyle w:val="ConsPlusTitle0"/>
        <w:jc w:val="center"/>
      </w:pPr>
      <w:r w:rsidRPr="0054656C">
        <w:t>РЕСПУБЛИКИ МОРДОВИЯ</w:t>
      </w:r>
    </w:p>
    <w:p w:rsidR="00C125DA" w:rsidRPr="0054656C" w:rsidRDefault="00C125DA">
      <w:pPr>
        <w:pStyle w:val="ConsPlusTitle0"/>
        <w:jc w:val="center"/>
      </w:pPr>
    </w:p>
    <w:p w:rsidR="00C125DA" w:rsidRPr="0054656C" w:rsidRDefault="005716D2">
      <w:pPr>
        <w:pStyle w:val="ConsPlusTitle0"/>
        <w:jc w:val="center"/>
      </w:pPr>
      <w:r w:rsidRPr="0054656C">
        <w:t>О ВНЕСЕНИИ ИЗМЕНЕНИЙ В НЕКОТОРЫЕ ЗАКОНЫ</w:t>
      </w:r>
    </w:p>
    <w:p w:rsidR="00C125DA" w:rsidRPr="0054656C" w:rsidRDefault="005716D2">
      <w:pPr>
        <w:pStyle w:val="ConsPlusTitle0"/>
        <w:jc w:val="center"/>
      </w:pPr>
      <w:r w:rsidRPr="0054656C">
        <w:t>РЕСПУБЛИКИ МОРДОВИЯ О НАЛОГАХ</w:t>
      </w:r>
    </w:p>
    <w:p w:rsidR="00C125DA" w:rsidRPr="0054656C" w:rsidRDefault="00C125DA">
      <w:pPr>
        <w:pStyle w:val="ConsPlusNormal0"/>
        <w:jc w:val="both"/>
      </w:pPr>
    </w:p>
    <w:p w:rsidR="00C125DA" w:rsidRPr="0054656C" w:rsidRDefault="00C125DA">
      <w:pPr>
        <w:pStyle w:val="ConsPlusNormal0"/>
        <w:spacing w:after="1"/>
      </w:pPr>
    </w:p>
    <w:p w:rsidR="00C125DA" w:rsidRPr="0054656C" w:rsidRDefault="00C125DA">
      <w:pPr>
        <w:pStyle w:val="ConsPlusNormal0"/>
        <w:jc w:val="both"/>
      </w:pPr>
    </w:p>
    <w:p w:rsidR="00C125DA" w:rsidRPr="0054656C" w:rsidRDefault="005716D2">
      <w:pPr>
        <w:pStyle w:val="ConsPlusTitle0"/>
        <w:ind w:firstLine="540"/>
        <w:jc w:val="both"/>
        <w:outlineLvl w:val="0"/>
      </w:pPr>
      <w:r w:rsidRPr="0054656C">
        <w:t>Статья 1</w:t>
      </w:r>
    </w:p>
    <w:p w:rsidR="00C125DA" w:rsidRPr="0054656C" w:rsidRDefault="00C125DA">
      <w:pPr>
        <w:pStyle w:val="ConsPlusNormal0"/>
        <w:jc w:val="both"/>
      </w:pPr>
    </w:p>
    <w:p w:rsidR="00C125DA" w:rsidRPr="0054656C" w:rsidRDefault="005716D2">
      <w:pPr>
        <w:pStyle w:val="ConsPlusNormal0"/>
        <w:ind w:firstLine="540"/>
        <w:jc w:val="both"/>
      </w:pPr>
      <w:proofErr w:type="gramStart"/>
      <w:r w:rsidRPr="0054656C">
        <w:t xml:space="preserve">Внести в </w:t>
      </w:r>
      <w:r w:rsidRPr="0054656C">
        <w:t>статью 1</w:t>
      </w:r>
      <w:r w:rsidRPr="0054656C">
        <w:t xml:space="preserve"> Закона Республики Мордовия от 25 ноября 2004 года N 77-З "О снижении ставок по налогу на прибыль организаций" (Известия Мордовии, 26 ноября 2004 года, N 180; 22 июля 2005 года, N 105-14; 23 мая 2</w:t>
      </w:r>
      <w:r w:rsidRPr="0054656C">
        <w:t>006 года, N 72-14; 30 ноября 2006 года, N 180; 12 июля 2007 года, N 103-24;</w:t>
      </w:r>
      <w:proofErr w:type="gramEnd"/>
      <w:r w:rsidRPr="0054656C">
        <w:t xml:space="preserve"> 2 октября 2008 года, N 149-26; 28 ноября 2008 года, N 181-34; 27 ноября 2009 года, N 179-43; 18 июня 2010 года, N 88-27; 28 декабря 2010 года, N 195-61; 22 ноября 2011 года, N 176-</w:t>
      </w:r>
      <w:r w:rsidRPr="0054656C">
        <w:t>61; 29 ноября 2013 года, N 178; 6 марта 2014 года, N 32-13; 12 сентября 2014 года, N 124-50) изменения, дополнив пунктом 6 следующего содержания: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"6. Налоговые льготы, предусмотренные настоящей статьей, предоставляются в текущем налоговом периоде при услов</w:t>
      </w:r>
      <w:r w:rsidRPr="0054656C">
        <w:t>ии представления организациями в уполномоченный орган государственной власти Республики Мордовия информации для оценки эффективности налоговых льгот за предыдущий налоговый период в соответствии с порядком, установленным Правительством Республики Мордовия.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Указанное условие не применяется в отношении организаций, указанных в абзацах третьем, седьмом и восьмом пункта 1 и пункта 3.1 настоящей статьи, а также к организациям, которые в предыдущем налоговом периоде не использовали налоговые льготы, предусмотренн</w:t>
      </w:r>
      <w:r w:rsidRPr="0054656C">
        <w:t>ые настоящей статьей, и к организациям, зарегистрированным в текущем налоговом периоде</w:t>
      </w:r>
      <w:proofErr w:type="gramStart"/>
      <w:r w:rsidRPr="0054656C">
        <w:t>.".</w:t>
      </w:r>
      <w:proofErr w:type="gramEnd"/>
    </w:p>
    <w:p w:rsidR="00C125DA" w:rsidRPr="0054656C" w:rsidRDefault="00C125DA">
      <w:pPr>
        <w:pStyle w:val="ConsPlusNormal0"/>
        <w:jc w:val="both"/>
      </w:pPr>
    </w:p>
    <w:p w:rsidR="00C125DA" w:rsidRPr="0054656C" w:rsidRDefault="005716D2">
      <w:pPr>
        <w:pStyle w:val="ConsPlusTitle0"/>
        <w:ind w:firstLine="540"/>
        <w:jc w:val="both"/>
        <w:outlineLvl w:val="0"/>
      </w:pPr>
      <w:bookmarkStart w:id="0" w:name="P24"/>
      <w:bookmarkEnd w:id="0"/>
      <w:r w:rsidRPr="0054656C">
        <w:t>Статья 2</w:t>
      </w:r>
    </w:p>
    <w:p w:rsidR="00C125DA" w:rsidRPr="0054656C" w:rsidRDefault="00C125DA">
      <w:pPr>
        <w:pStyle w:val="ConsPlusNormal0"/>
        <w:jc w:val="both"/>
      </w:pPr>
    </w:p>
    <w:p w:rsidR="00C125DA" w:rsidRPr="0054656C" w:rsidRDefault="005716D2">
      <w:pPr>
        <w:pStyle w:val="ConsPlusNormal0"/>
        <w:ind w:firstLine="540"/>
        <w:jc w:val="both"/>
      </w:pPr>
      <w:proofErr w:type="gramStart"/>
      <w:r w:rsidRPr="0054656C">
        <w:t xml:space="preserve">Внести в </w:t>
      </w:r>
      <w:r w:rsidRPr="0054656C">
        <w:t>статью 3</w:t>
      </w:r>
      <w:r w:rsidRPr="0054656C">
        <w:t xml:space="preserve"> Закона Республики Мордовия от 27 ноября 2003 года N 54-З "О налоге на имущество организаций" (Известия Мордовии, 28 ноября 2003 года, N 180; 26 марта 2004 года, N 44-7; 3 июня 2004 года, N 80-13; 8 июля 2004 года</w:t>
      </w:r>
      <w:r w:rsidRPr="0054656C">
        <w:t>, N 99; 26 ноября 2004 года, N 180;</w:t>
      </w:r>
      <w:proofErr w:type="gramEnd"/>
      <w:r w:rsidRPr="0054656C">
        <w:t xml:space="preserve"> </w:t>
      </w:r>
      <w:proofErr w:type="gramStart"/>
      <w:r w:rsidRPr="0054656C">
        <w:t>22 июля 2005 года, N 105-14; 29 ноября 2005 года, N 177-21; 30 ноября 2006 года, N 180; 12 июля 2007 года, N 103-24; 2 октября 2008 года, N 149-26; 28 ноября 2008 года, N 181-34; 13 марта 2009 года, N 35-7; 27 ноября 200</w:t>
      </w:r>
      <w:r w:rsidRPr="0054656C">
        <w:t>9 года, N 179-43; 18 июня 2010 года, N 88-27;</w:t>
      </w:r>
      <w:proofErr w:type="gramEnd"/>
      <w:r w:rsidRPr="0054656C">
        <w:t xml:space="preserve"> </w:t>
      </w:r>
      <w:proofErr w:type="gramStart"/>
      <w:r w:rsidRPr="0054656C">
        <w:t>6 июля 2010 года, N 97-31; 28 декабря 2010 года, N 195-61; 30 декабря 2010 года, N 197-62; 30 декабря 2011 года, N 199-69; 16 мая 2012 года, N 70-22; 30 августа 2012 года, N 131-48; 31 января 2013 года, N 14-4;</w:t>
      </w:r>
      <w:r w:rsidRPr="0054656C">
        <w:t xml:space="preserve"> 20 ноября 2013 года, N 172-63; 29 ноября 2013 года, N 178;</w:t>
      </w:r>
      <w:proofErr w:type="gramEnd"/>
      <w:r w:rsidRPr="0054656C">
        <w:t xml:space="preserve"> </w:t>
      </w:r>
      <w:proofErr w:type="gramStart"/>
      <w:r w:rsidRPr="0054656C">
        <w:t>12 сентября 2014 года, N 124-50) следующие изменения:</w:t>
      </w:r>
      <w:proofErr w:type="gramEnd"/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 xml:space="preserve">1) </w:t>
      </w:r>
      <w:r w:rsidRPr="0054656C">
        <w:t>абзацы одиннадцатый</w:t>
      </w:r>
      <w:r w:rsidRPr="0054656C">
        <w:t xml:space="preserve"> и </w:t>
      </w:r>
      <w:r w:rsidRPr="0054656C">
        <w:t>пятнадцатый пункта 1</w:t>
      </w:r>
      <w:r w:rsidRPr="0054656C">
        <w:t xml:space="preserve"> признать утратившими силу;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 xml:space="preserve">2) </w:t>
      </w:r>
      <w:r w:rsidRPr="0054656C">
        <w:t>пункт 2</w:t>
      </w:r>
      <w:r w:rsidRPr="0054656C">
        <w:t xml:space="preserve"> изложить в следующей редакции: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"2. Обязательным условием предоставления налоговых льгот организациям, указанным в абзацах втором, четвертом, шестом, седьмом, одиннадцатом, тринадцатом - восемнадцатом пункта 1 настоя</w:t>
      </w:r>
      <w:r w:rsidRPr="0054656C">
        <w:t>щей статьи, является: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lastRenderedPageBreak/>
        <w:t>1) отсутствие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Республики Мордовия, по состоянию на следующие даты: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для налогов, у которых установ</w:t>
      </w:r>
      <w:r w:rsidRPr="0054656C">
        <w:t>лен отчетный период, - по состоянию на первое число второго месяца, следующего за каждым отчетным периодом, в году, за который налогоплательщик намерен воспользоваться соответствующей льготой. По истечении налогового периода для указанных налогов - по сост</w:t>
      </w:r>
      <w:r w:rsidRPr="0054656C">
        <w:t>оянию на первое число месяца, следующего за сроком уплаты;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для налогов, у которых не установлен отчетный период, - по состоянию на первое число второго месяца, следующего за истекшим налоговым периодом;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2) размер среднемесячной заработной платы за отчетный</w:t>
      </w:r>
      <w:r w:rsidRPr="0054656C">
        <w:t xml:space="preserve"> период в расчете на одного работника должен составлять не менее трех минимальных </w:t>
      </w:r>
      <w:proofErr w:type="gramStart"/>
      <w:r w:rsidRPr="0054656C">
        <w:t>размеров оплаты труда</w:t>
      </w:r>
      <w:proofErr w:type="gramEnd"/>
      <w:r w:rsidRPr="0054656C">
        <w:t>, установленных федеральным законом.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Обязательным условием предоставления налоговых льгот организациям, указанным в абзацах третьем, пятом пункта 1 насто</w:t>
      </w:r>
      <w:r w:rsidRPr="0054656C">
        <w:t>ящей статьи, является: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1) отсутствие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Республики Мордовия, по состоянию на 1 апреля года, следующего за отчетным годом;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 xml:space="preserve">2) размер среднемесячной заработной платы за отчетный период в расчете на одного работника должен составлять не менее трех минимальных </w:t>
      </w:r>
      <w:proofErr w:type="gramStart"/>
      <w:r w:rsidRPr="0054656C">
        <w:t>размеров оплаты труда</w:t>
      </w:r>
      <w:proofErr w:type="gramEnd"/>
      <w:r w:rsidRPr="0054656C">
        <w:t>, установленных федеральным законом.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Обязательными условиями предоставления налоговых льгот организа</w:t>
      </w:r>
      <w:r w:rsidRPr="0054656C">
        <w:t>циям, указанным в абзаце восьмом пункта 1 настоящей статьи, являются: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1) отсутствие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Республики Мордовия, по состоянию н</w:t>
      </w:r>
      <w:r w:rsidRPr="0054656C">
        <w:t>а следующие даты: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для налогов, у которых установлен отчетный период, - по состоянию на первое число второго месяца, следующего за каждым отчетным периодом, в году, за который налогоплательщик намерен воспользоваться соответствующей льготой. По истечении на</w:t>
      </w:r>
      <w:r w:rsidRPr="0054656C">
        <w:t>логового периода для указанных налогов - по состоянию на первое число месяца, следующего за сроком уплаты;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для налогов, у которых не установлен отчетный период, - по состоянию на первое число второго месяца, следующего за истекшим налоговым периодом;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2) ра</w:t>
      </w:r>
      <w:r w:rsidRPr="0054656C">
        <w:t xml:space="preserve">змер среднемесячной заработной платы за отчетный период в расчете на одного работника должен составлять не менее двух минимальных </w:t>
      </w:r>
      <w:proofErr w:type="gramStart"/>
      <w:r w:rsidRPr="0054656C">
        <w:t>размеров оплаты труда</w:t>
      </w:r>
      <w:proofErr w:type="gramEnd"/>
      <w:r w:rsidRPr="0054656C">
        <w:t>, установленных федеральным законом.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При оценке соблюдения налогоплательщиком установленного настоящим пу</w:t>
      </w:r>
      <w:r w:rsidRPr="0054656C">
        <w:t xml:space="preserve">нктом условия не учитывается недоимка, образовавшаяся по результатам проведенных мероприятий налогового контроля, вопрос </w:t>
      </w:r>
      <w:proofErr w:type="gramStart"/>
      <w:r w:rsidRPr="0054656C">
        <w:t>обоснованности</w:t>
      </w:r>
      <w:proofErr w:type="gramEnd"/>
      <w:r w:rsidRPr="0054656C">
        <w:t xml:space="preserve"> возникновения которой находится на рассмотрении в судебных органах либо не истек срок на обжалование указанного факта в </w:t>
      </w:r>
      <w:r w:rsidRPr="0054656C">
        <w:t>судебном порядке при отсутствии вступившего в законную силу решения суда, подтверждающего обоснованность возникновения недоимки.";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lastRenderedPageBreak/>
        <w:t xml:space="preserve">3) </w:t>
      </w:r>
      <w:r w:rsidRPr="0054656C">
        <w:t>дополнить</w:t>
      </w:r>
      <w:r w:rsidRPr="0054656C">
        <w:t xml:space="preserve"> пунктом 3 следующего содержания: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"3. Налоговые льготы, предусмотренные наст</w:t>
      </w:r>
      <w:r w:rsidRPr="0054656C">
        <w:t>оящей статьей, предоставляются в текущем налоговом периоде при условии представления организациями в уполномоченный орган государственной власти Республики Мордовия информации для оценки эффективности налоговых льгот за предыдущий налоговый период в соотве</w:t>
      </w:r>
      <w:r w:rsidRPr="0054656C">
        <w:t xml:space="preserve">тствии с </w:t>
      </w:r>
      <w:r w:rsidRPr="0054656C">
        <w:t>порядком</w:t>
      </w:r>
      <w:r w:rsidRPr="0054656C">
        <w:t>, установленным Правительством Республики Мордовия.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 xml:space="preserve">Указанное условие не применяется в отношении организаций, указанных в абзацах девятом, десятом, двенадцатом пункта 1 настоящей статьи, а также к </w:t>
      </w:r>
      <w:r w:rsidRPr="0054656C">
        <w:t>организациям, которые в предыдущем налоговом периоде не использовали налоговые льготы, предусмотренные настоящей статьей, и к организациям, зарегистрированным в текущем налоговом периоде</w:t>
      </w:r>
      <w:proofErr w:type="gramStart"/>
      <w:r w:rsidRPr="0054656C">
        <w:t>.".</w:t>
      </w:r>
      <w:proofErr w:type="gramEnd"/>
    </w:p>
    <w:p w:rsidR="00C125DA" w:rsidRPr="0054656C" w:rsidRDefault="00C125DA">
      <w:pPr>
        <w:pStyle w:val="ConsPlusNormal0"/>
        <w:jc w:val="both"/>
      </w:pPr>
    </w:p>
    <w:p w:rsidR="00C125DA" w:rsidRPr="0054656C" w:rsidRDefault="005716D2">
      <w:pPr>
        <w:pStyle w:val="ConsPlusTitle0"/>
        <w:ind w:firstLine="540"/>
        <w:jc w:val="both"/>
        <w:outlineLvl w:val="0"/>
      </w:pPr>
      <w:r w:rsidRPr="0054656C">
        <w:t xml:space="preserve">Статья 3. Утратила силу. </w:t>
      </w:r>
    </w:p>
    <w:p w:rsidR="00C125DA" w:rsidRPr="0054656C" w:rsidRDefault="00C125DA">
      <w:pPr>
        <w:pStyle w:val="ConsPlusNormal0"/>
        <w:jc w:val="both"/>
      </w:pPr>
    </w:p>
    <w:p w:rsidR="00C125DA" w:rsidRPr="0054656C" w:rsidRDefault="005716D2">
      <w:pPr>
        <w:pStyle w:val="ConsPlusTitle0"/>
        <w:ind w:firstLine="540"/>
        <w:jc w:val="both"/>
        <w:outlineLvl w:val="0"/>
      </w:pPr>
      <w:r w:rsidRPr="0054656C">
        <w:t>Статья 4</w:t>
      </w:r>
    </w:p>
    <w:p w:rsidR="00C125DA" w:rsidRPr="0054656C" w:rsidRDefault="00C125DA">
      <w:pPr>
        <w:pStyle w:val="ConsPlusNormal0"/>
        <w:jc w:val="both"/>
      </w:pPr>
    </w:p>
    <w:p w:rsidR="00C125DA" w:rsidRPr="0054656C" w:rsidRDefault="005716D2">
      <w:pPr>
        <w:pStyle w:val="ConsPlusNormal0"/>
        <w:ind w:firstLine="540"/>
        <w:jc w:val="both"/>
      </w:pPr>
      <w:proofErr w:type="gramStart"/>
      <w:r w:rsidRPr="0054656C">
        <w:t xml:space="preserve">Внести в </w:t>
      </w:r>
      <w:r w:rsidRPr="0054656C">
        <w:t>Закон</w:t>
      </w:r>
      <w:r w:rsidRPr="0054656C">
        <w:t xml:space="preserve"> Республики Мордовия от 17 октября 2002 года N 46-З "О транспортном налоге" (Известия Мордовии, 26 октября 2002 года, </w:t>
      </w:r>
      <w:proofErr w:type="spellStart"/>
      <w:r w:rsidRPr="0054656C">
        <w:t>спецвыпуск</w:t>
      </w:r>
      <w:proofErr w:type="spellEnd"/>
      <w:r w:rsidRPr="0054656C">
        <w:t>; 28 ноября 2003 года, N 180; 26 ноября 2004 года, N 180; 29 ноября 2005 года, N 177-21; 12 июля 2007 года, N 103-24; 7 о</w:t>
      </w:r>
      <w:r w:rsidRPr="0054656C">
        <w:t>ктября 2008 года, N 151-27;</w:t>
      </w:r>
      <w:proofErr w:type="gramEnd"/>
      <w:r w:rsidRPr="0054656C">
        <w:t xml:space="preserve"> </w:t>
      </w:r>
      <w:proofErr w:type="gramStart"/>
      <w:r w:rsidRPr="0054656C">
        <w:t>28 ноября 2008 года, N 181-34; 27 ноября 2009 года, N 179-43; 28 декабря 2010 года, N 195-61; 29 ноября 2013 года, N 178; 31 декабря 2013 года, N 195-73) следующие изменения:</w:t>
      </w:r>
      <w:proofErr w:type="gramEnd"/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 xml:space="preserve">1. </w:t>
      </w:r>
      <w:r w:rsidRPr="0054656C">
        <w:t>Преамбулу</w:t>
      </w:r>
      <w:r w:rsidRPr="0054656C">
        <w:t xml:space="preserve"> изложить в след</w:t>
      </w:r>
      <w:r w:rsidRPr="0054656C">
        <w:t>ующей редакции: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"Настоящий Закон вводит на территории Республики Мордовия транспортный налог, устанавливает ставки налога, порядок и сроки уплаты его налогоплательщиками-организациями, а также налоговые льготы по данному налогу. Налогоплательщики, объект н</w:t>
      </w:r>
      <w:r w:rsidRPr="0054656C">
        <w:t xml:space="preserve">алогообложения, налоговая база, налоговый период и порядок исчисления налога определяются в соответствии с </w:t>
      </w:r>
      <w:r w:rsidRPr="0054656C">
        <w:t>главой 28</w:t>
      </w:r>
      <w:r w:rsidRPr="0054656C">
        <w:t xml:space="preserve"> "Транспортный налог" Налогового кодекса Российской Федерации</w:t>
      </w:r>
      <w:proofErr w:type="gramStart"/>
      <w:r w:rsidRPr="0054656C">
        <w:t>.".</w:t>
      </w:r>
      <w:proofErr w:type="gramEnd"/>
    </w:p>
    <w:p w:rsidR="00C125DA" w:rsidRPr="0054656C" w:rsidRDefault="005716D2">
      <w:pPr>
        <w:pStyle w:val="ConsPlusNormal0"/>
        <w:spacing w:before="240"/>
        <w:ind w:firstLine="540"/>
        <w:jc w:val="both"/>
      </w:pPr>
      <w:bookmarkStart w:id="1" w:name="P54"/>
      <w:bookmarkEnd w:id="1"/>
      <w:r w:rsidRPr="0054656C">
        <w:t xml:space="preserve">2. </w:t>
      </w:r>
      <w:r w:rsidRPr="0054656C">
        <w:t>Статью 2</w:t>
      </w:r>
      <w:r w:rsidRPr="0054656C">
        <w:t xml:space="preserve"> изложить в следующ</w:t>
      </w:r>
      <w:r w:rsidRPr="0054656C">
        <w:t>ей редакции: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"Статья 2. Налоговые ставки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Ставки транспортного налога устанавливаются на территории Республики Мордовия в зависимости от мощности двигателя или валовой вместимости транспортных средств, категории транспортных средств, в расчете на одну лошадиную силу мощности двигателя транспортног</w:t>
      </w:r>
      <w:r w:rsidRPr="0054656C">
        <w:t>о средства, одну регистровую тонну транспортного средства или единицу транспортного средства в следующих размерах:</w:t>
      </w:r>
    </w:p>
    <w:p w:rsidR="00C125DA" w:rsidRPr="0054656C" w:rsidRDefault="00C125DA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59"/>
        <w:gridCol w:w="1680"/>
      </w:tblGrid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Наименование объекта налогообложения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Налоговая ставка (в рублях)</w:t>
            </w:r>
          </w:p>
        </w:tc>
      </w:tr>
      <w:tr w:rsidR="0054656C" w:rsidRPr="0054656C">
        <w:tc>
          <w:tcPr>
            <w:tcW w:w="9639" w:type="dxa"/>
            <w:gridSpan w:val="2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Автомобили легковые с мощностью двигателя (с каждой лошадиной силы)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до 100 </w:t>
            </w:r>
            <w:proofErr w:type="spellStart"/>
            <w:r w:rsidRPr="0054656C">
              <w:t>л.с</w:t>
            </w:r>
            <w:proofErr w:type="spellEnd"/>
            <w:r w:rsidRPr="0054656C">
              <w:t>. (до 73,55 кВт) включительно, с года выпуска которых прошло более 15 лет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15,0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lastRenderedPageBreak/>
              <w:t xml:space="preserve">до 100 </w:t>
            </w:r>
            <w:proofErr w:type="spellStart"/>
            <w:r w:rsidRPr="0054656C">
              <w:t>л.с</w:t>
            </w:r>
            <w:proofErr w:type="spellEnd"/>
            <w:r w:rsidRPr="0054656C">
              <w:t>. (до 73,55 кВт) включительно, с года выпуска которых прошло до 15 лет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17,3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100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 xml:space="preserve">. до 150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>. (свыше 73,55 кВт до 110,33 кВт) включит</w:t>
            </w:r>
            <w:r w:rsidRPr="0054656C">
              <w:t>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25,9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150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 xml:space="preserve">. до 200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>. (свыше 110,33 кВт до 147,1 кВт)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37,9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200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 xml:space="preserve">. до 250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>. (свыше 147,1 кВт до 183,9 кВт)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75,0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250 </w:t>
            </w:r>
            <w:proofErr w:type="spellStart"/>
            <w:r w:rsidRPr="0054656C">
              <w:t>л.с</w:t>
            </w:r>
            <w:proofErr w:type="spellEnd"/>
            <w:r w:rsidRPr="0054656C">
              <w:t>. (свыше 183,9 кВт)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150,0</w:t>
            </w:r>
          </w:p>
        </w:tc>
      </w:tr>
      <w:tr w:rsidR="0054656C" w:rsidRPr="0054656C">
        <w:tc>
          <w:tcPr>
            <w:tcW w:w="9639" w:type="dxa"/>
            <w:gridSpan w:val="2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Мотоциклы и мотороллеры с мощностью двигателя (с каждой лошадиной силы)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до 20 </w:t>
            </w:r>
            <w:proofErr w:type="spellStart"/>
            <w:r w:rsidRPr="0054656C">
              <w:t>л.с</w:t>
            </w:r>
            <w:proofErr w:type="spellEnd"/>
            <w:r w:rsidRPr="0054656C">
              <w:t>. (до 14,7 кВт)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5,7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20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 xml:space="preserve">. до 35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>. (свыше 14,7 кВт до 25,74 кВт)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11,9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35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 xml:space="preserve">. до 40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>. (свыше 25,74 кВт до 29,42 кВт)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14,9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40 </w:t>
            </w:r>
            <w:proofErr w:type="spellStart"/>
            <w:r w:rsidRPr="0054656C">
              <w:t>л.с</w:t>
            </w:r>
            <w:proofErr w:type="spellEnd"/>
            <w:r w:rsidRPr="0054656C">
              <w:t>. (свыше 29,42 кВт)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37,3</w:t>
            </w:r>
          </w:p>
        </w:tc>
      </w:tr>
      <w:tr w:rsidR="0054656C" w:rsidRPr="0054656C">
        <w:tc>
          <w:tcPr>
            <w:tcW w:w="9639" w:type="dxa"/>
            <w:gridSpan w:val="2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Автобусы с мощностью двигателя (с каждой лошадиной силы)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до 200 </w:t>
            </w:r>
            <w:proofErr w:type="spellStart"/>
            <w:r w:rsidRPr="0054656C">
              <w:t>л.с</w:t>
            </w:r>
            <w:proofErr w:type="spellEnd"/>
            <w:r w:rsidRPr="0054656C">
              <w:t>. (до 147,1 кВт)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31,7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200 </w:t>
            </w:r>
            <w:proofErr w:type="spellStart"/>
            <w:r w:rsidRPr="0054656C">
              <w:t>л.с</w:t>
            </w:r>
            <w:proofErr w:type="spellEnd"/>
            <w:r w:rsidRPr="0054656C">
              <w:t>. (свыше 147,1 кВт)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61,5</w:t>
            </w:r>
          </w:p>
        </w:tc>
      </w:tr>
      <w:tr w:rsidR="0054656C" w:rsidRPr="0054656C">
        <w:tc>
          <w:tcPr>
            <w:tcW w:w="9639" w:type="dxa"/>
            <w:gridSpan w:val="2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Грузовые автомобили с мощностью двигателя (с каждой лошадиной силы)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до 100 </w:t>
            </w:r>
            <w:proofErr w:type="spellStart"/>
            <w:r w:rsidRPr="0054656C">
              <w:t>л.с</w:t>
            </w:r>
            <w:proofErr w:type="spellEnd"/>
            <w:r w:rsidRPr="0054656C">
              <w:t>. (до 73,55 кВт)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25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100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 xml:space="preserve">. до 150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>. (свыше 73,55 кВт до 110,33 кВт)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40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150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 xml:space="preserve">. до 200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>. (свыше 110,33 кВт до 147,1 кВт)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50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200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 xml:space="preserve">. до 250 </w:t>
            </w:r>
            <w:proofErr w:type="spellStart"/>
            <w:r w:rsidRPr="0054656C">
              <w:t>л.</w:t>
            </w:r>
            <w:proofErr w:type="gramStart"/>
            <w:r w:rsidRPr="0054656C">
              <w:t>с</w:t>
            </w:r>
            <w:proofErr w:type="spellEnd"/>
            <w:proofErr w:type="gramEnd"/>
            <w:r w:rsidRPr="0054656C">
              <w:t>. (свыше 147,1 кВт до 183,9 кВт)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65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250 </w:t>
            </w:r>
            <w:proofErr w:type="spellStart"/>
            <w:r w:rsidRPr="0054656C">
              <w:t>л.с</w:t>
            </w:r>
            <w:proofErr w:type="spellEnd"/>
            <w:r w:rsidRPr="0054656C">
              <w:t>. (свыше 183,9 кВт)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85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>Другие самоходные транспортные средства, машины и механизмы на пневматическом и гусеничном ходу (с каждой лошадиной силы)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25</w:t>
            </w:r>
          </w:p>
        </w:tc>
      </w:tr>
      <w:tr w:rsidR="0054656C" w:rsidRPr="0054656C">
        <w:tc>
          <w:tcPr>
            <w:tcW w:w="9639" w:type="dxa"/>
            <w:gridSpan w:val="2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Снегоходы, мотосан</w:t>
            </w:r>
            <w:r w:rsidRPr="0054656C">
              <w:t>и с мощностью двигателя (с каждой лошадиной силы)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до 50 </w:t>
            </w:r>
            <w:proofErr w:type="spellStart"/>
            <w:r w:rsidRPr="0054656C">
              <w:t>л.с</w:t>
            </w:r>
            <w:proofErr w:type="spellEnd"/>
            <w:r w:rsidRPr="0054656C">
              <w:t>. (до 36,77 кВт)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20,6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50 </w:t>
            </w:r>
            <w:proofErr w:type="spellStart"/>
            <w:r w:rsidRPr="0054656C">
              <w:t>л.с</w:t>
            </w:r>
            <w:proofErr w:type="spellEnd"/>
            <w:r w:rsidRPr="0054656C">
              <w:t>. (свыше 36,77 кВт)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50,0</w:t>
            </w:r>
          </w:p>
        </w:tc>
      </w:tr>
      <w:tr w:rsidR="0054656C" w:rsidRPr="0054656C">
        <w:tc>
          <w:tcPr>
            <w:tcW w:w="9639" w:type="dxa"/>
            <w:gridSpan w:val="2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Катера, моторные лодки и другие водные транспортные средства с мощностью двигателя (с каждой лошадиной силы)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до 100 </w:t>
            </w:r>
            <w:proofErr w:type="spellStart"/>
            <w:r w:rsidRPr="0054656C">
              <w:t>л.с</w:t>
            </w:r>
            <w:proofErr w:type="spellEnd"/>
            <w:r w:rsidRPr="0054656C">
              <w:t>. (до 73,55 кВт)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40,9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100 </w:t>
            </w:r>
            <w:proofErr w:type="spellStart"/>
            <w:r w:rsidRPr="0054656C">
              <w:t>л.с</w:t>
            </w:r>
            <w:proofErr w:type="spellEnd"/>
            <w:r w:rsidRPr="0054656C">
              <w:t>. (свыше 73,55 кВт)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82</w:t>
            </w:r>
          </w:p>
        </w:tc>
      </w:tr>
      <w:tr w:rsidR="0054656C" w:rsidRPr="0054656C">
        <w:tc>
          <w:tcPr>
            <w:tcW w:w="9639" w:type="dxa"/>
            <w:gridSpan w:val="2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lastRenderedPageBreak/>
              <w:t>Яхты и другие парусно-моторные суда с мощностью двигателя (с каждой лошадиной силы)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до 100 </w:t>
            </w:r>
            <w:proofErr w:type="spellStart"/>
            <w:r w:rsidRPr="0054656C">
              <w:t>л.с</w:t>
            </w:r>
            <w:proofErr w:type="spellEnd"/>
            <w:r w:rsidRPr="0054656C">
              <w:t>. (до 73,55 кВт)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82,0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100 </w:t>
            </w:r>
            <w:proofErr w:type="spellStart"/>
            <w:r w:rsidRPr="0054656C">
              <w:t>л.с</w:t>
            </w:r>
            <w:proofErr w:type="spellEnd"/>
            <w:r w:rsidRPr="0054656C">
              <w:t>. (свыше 73,55 кВт)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163,9</w:t>
            </w:r>
          </w:p>
        </w:tc>
      </w:tr>
      <w:tr w:rsidR="0054656C" w:rsidRPr="0054656C">
        <w:tc>
          <w:tcPr>
            <w:tcW w:w="9639" w:type="dxa"/>
            <w:gridSpan w:val="2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Гидроциклы с мощностью двигателя (с каждой лошадиной силы)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до 100 </w:t>
            </w:r>
            <w:proofErr w:type="spellStart"/>
            <w:r w:rsidRPr="0054656C">
              <w:t>л.с</w:t>
            </w:r>
            <w:proofErr w:type="spellEnd"/>
            <w:r w:rsidRPr="0054656C">
              <w:t>. (до 73,55 кВт) включительно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102,5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 xml:space="preserve">свыше 100 </w:t>
            </w:r>
            <w:proofErr w:type="spellStart"/>
            <w:r w:rsidRPr="0054656C">
              <w:t>л.с</w:t>
            </w:r>
            <w:proofErr w:type="spellEnd"/>
            <w:r w:rsidRPr="0054656C">
              <w:t>. (свыше 73,55 кВт)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204,8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>Несамоходные (буксируемые) суда, для которых определяется валовая вместимость (с каждой регистровой тонны вал</w:t>
            </w:r>
            <w:r w:rsidRPr="0054656C">
              <w:t>овой вместимости)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82,0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>Самолеты, вертолеты и иные воздушные суда, имеющие двигатели (с каждой лошадиной силы)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52,2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>Самолеты, имеющие реактивные двигатели (с каждого килограмма силы тяги)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82,0</w:t>
            </w:r>
          </w:p>
        </w:tc>
      </w:tr>
      <w:tr w:rsidR="0054656C" w:rsidRPr="0054656C">
        <w:tc>
          <w:tcPr>
            <w:tcW w:w="7959" w:type="dxa"/>
          </w:tcPr>
          <w:p w:rsidR="00C125DA" w:rsidRPr="0054656C" w:rsidRDefault="005716D2">
            <w:pPr>
              <w:pStyle w:val="ConsPlusNormal0"/>
            </w:pPr>
            <w:r w:rsidRPr="0054656C">
              <w:t>Другие водные и воздушные транспортные средства, не имеющие двигателей (с единицы транспортного средства)</w:t>
            </w:r>
          </w:p>
        </w:tc>
        <w:tc>
          <w:tcPr>
            <w:tcW w:w="1680" w:type="dxa"/>
          </w:tcPr>
          <w:p w:rsidR="00C125DA" w:rsidRPr="0054656C" w:rsidRDefault="005716D2">
            <w:pPr>
              <w:pStyle w:val="ConsPlusNormal0"/>
              <w:jc w:val="center"/>
            </w:pPr>
            <w:r w:rsidRPr="0054656C">
              <w:t>819,4</w:t>
            </w:r>
          </w:p>
        </w:tc>
      </w:tr>
    </w:tbl>
    <w:p w:rsidR="00C125DA" w:rsidRPr="0054656C" w:rsidRDefault="005716D2">
      <w:pPr>
        <w:pStyle w:val="ConsPlusNormal0"/>
        <w:jc w:val="right"/>
      </w:pPr>
      <w:r w:rsidRPr="0054656C">
        <w:t>".</w:t>
      </w:r>
    </w:p>
    <w:p w:rsidR="00C125DA" w:rsidRPr="0054656C" w:rsidRDefault="00C125DA">
      <w:pPr>
        <w:pStyle w:val="ConsPlusNormal0"/>
        <w:jc w:val="both"/>
      </w:pPr>
    </w:p>
    <w:p w:rsidR="00C125DA" w:rsidRPr="0054656C" w:rsidRDefault="005716D2">
      <w:pPr>
        <w:pStyle w:val="ConsPlusNormal0"/>
        <w:ind w:firstLine="540"/>
        <w:jc w:val="both"/>
      </w:pPr>
      <w:r w:rsidRPr="0054656C">
        <w:t xml:space="preserve">3. </w:t>
      </w:r>
      <w:r w:rsidRPr="0054656C">
        <w:t>Статью 3</w:t>
      </w:r>
      <w:r w:rsidRPr="0054656C">
        <w:t xml:space="preserve"> изложить в следующей редакции: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"Статья 3. Порядок и сроки уплаты транспортного налога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Уплата налога на</w:t>
      </w:r>
      <w:r w:rsidRPr="0054656C">
        <w:t xml:space="preserve">логоплательщиками-организациями производится по итогам отчетных периодов, установленных </w:t>
      </w:r>
      <w:r w:rsidRPr="0054656C">
        <w:t>пунктом 2 статьи 360</w:t>
      </w:r>
      <w:r w:rsidRPr="0054656C">
        <w:t xml:space="preserve"> Налогового кодекса Российской Федерации, в форме авансовых платежей не позднее последнего числа месяца, следующего за истекшим от</w:t>
      </w:r>
      <w:r w:rsidRPr="0054656C">
        <w:t>четным периодом.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Сроком уплаты налога для налогоплательщиков-организаций является 10 февраля года, следующего за истекшим налоговым периодом</w:t>
      </w:r>
      <w:proofErr w:type="gramStart"/>
      <w:r w:rsidRPr="0054656C">
        <w:t>.".</w:t>
      </w:r>
      <w:proofErr w:type="gramEnd"/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 xml:space="preserve">4. </w:t>
      </w:r>
      <w:r w:rsidRPr="0054656C">
        <w:t>Статью 4</w:t>
      </w:r>
      <w:r w:rsidRPr="0054656C">
        <w:t xml:space="preserve"> дополнить пунктом 3 следующего содержания: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"3. Налоговые льготы, предусмотренные настоящей статьей, предоставляются в текущем налоговом периоде при условии представления организациями в уполномоченный орган государственной власт</w:t>
      </w:r>
      <w:r w:rsidRPr="0054656C">
        <w:t>и Республики Мордовия информации для оценки эффективности налоговых льгот за предыдущий налоговый период в соответствии с порядком, установленным Правительством Республики Мордовия.</w:t>
      </w:r>
    </w:p>
    <w:p w:rsidR="00C125DA" w:rsidRPr="0054656C" w:rsidRDefault="005716D2">
      <w:pPr>
        <w:pStyle w:val="ConsPlusNormal0"/>
        <w:spacing w:before="240"/>
        <w:ind w:firstLine="540"/>
        <w:jc w:val="both"/>
      </w:pPr>
      <w:r w:rsidRPr="0054656C">
        <w:t>Указанное условие не применяется в отношении организаций, указанных в подп</w:t>
      </w:r>
      <w:r w:rsidRPr="0054656C">
        <w:t>ункте втором пункта 1 и пункте 2 настоящей статьи, а также к организациям, которые в предыдущем налоговом периоде не использовали налоговые льготы, предусмотренные настоящей статьей, и к организациям, зарегистрированным в текущем налоговом периоде</w:t>
      </w:r>
      <w:proofErr w:type="gramStart"/>
      <w:r w:rsidRPr="0054656C">
        <w:t>.".</w:t>
      </w:r>
      <w:proofErr w:type="gramEnd"/>
    </w:p>
    <w:p w:rsidR="00C125DA" w:rsidRPr="0054656C" w:rsidRDefault="00C125DA">
      <w:pPr>
        <w:pStyle w:val="ConsPlusNormal0"/>
        <w:jc w:val="both"/>
      </w:pPr>
    </w:p>
    <w:p w:rsidR="00C125DA" w:rsidRPr="0054656C" w:rsidRDefault="005716D2">
      <w:pPr>
        <w:pStyle w:val="ConsPlusTitle0"/>
        <w:ind w:firstLine="540"/>
        <w:jc w:val="both"/>
        <w:outlineLvl w:val="0"/>
      </w:pPr>
      <w:r w:rsidRPr="0054656C">
        <w:t>Стат</w:t>
      </w:r>
      <w:r w:rsidRPr="0054656C">
        <w:t>ья 5</w:t>
      </w:r>
    </w:p>
    <w:p w:rsidR="00C125DA" w:rsidRPr="0054656C" w:rsidRDefault="00C125DA">
      <w:pPr>
        <w:pStyle w:val="ConsPlusNormal0"/>
        <w:jc w:val="both"/>
      </w:pPr>
    </w:p>
    <w:p w:rsidR="00C125DA" w:rsidRPr="0054656C" w:rsidRDefault="005716D2">
      <w:pPr>
        <w:pStyle w:val="ConsPlusNormal0"/>
        <w:ind w:firstLine="540"/>
        <w:jc w:val="both"/>
      </w:pPr>
      <w:r w:rsidRPr="0054656C">
        <w:lastRenderedPageBreak/>
        <w:t xml:space="preserve">Настоящий Закон вступает в силу со дня его официального опубликования, за исключением </w:t>
      </w:r>
      <w:r w:rsidRPr="0054656C">
        <w:t>статьи 2</w:t>
      </w:r>
      <w:r w:rsidRPr="0054656C">
        <w:t xml:space="preserve">, </w:t>
      </w:r>
      <w:r w:rsidRPr="0054656C">
        <w:t>пункта 2 статьи 4</w:t>
      </w:r>
      <w:r w:rsidRPr="0054656C">
        <w:t xml:space="preserve">, </w:t>
      </w:r>
      <w:proofErr w:type="gramStart"/>
      <w:r w:rsidRPr="0054656C">
        <w:t>вступающих</w:t>
      </w:r>
      <w:proofErr w:type="gramEnd"/>
      <w:r w:rsidRPr="0054656C">
        <w:t xml:space="preserve"> в силу с 1</w:t>
      </w:r>
      <w:r w:rsidRPr="0054656C">
        <w:t xml:space="preserve"> января 2015 года.</w:t>
      </w:r>
    </w:p>
    <w:p w:rsidR="00C125DA" w:rsidRPr="0054656C" w:rsidRDefault="00C125DA">
      <w:pPr>
        <w:pStyle w:val="ConsPlusNormal0"/>
        <w:jc w:val="both"/>
      </w:pPr>
    </w:p>
    <w:p w:rsidR="00C125DA" w:rsidRPr="0054656C" w:rsidRDefault="005716D2">
      <w:pPr>
        <w:pStyle w:val="ConsPlusNormal0"/>
        <w:jc w:val="right"/>
      </w:pPr>
      <w:r w:rsidRPr="0054656C">
        <w:t>Глава Республики Мордовия</w:t>
      </w:r>
    </w:p>
    <w:p w:rsidR="00C125DA" w:rsidRPr="0054656C" w:rsidRDefault="005716D2">
      <w:pPr>
        <w:pStyle w:val="ConsPlusNormal0"/>
        <w:jc w:val="right"/>
      </w:pPr>
      <w:bookmarkStart w:id="2" w:name="_GoBack"/>
      <w:bookmarkEnd w:id="2"/>
      <w:r w:rsidRPr="0054656C">
        <w:t>В.Д.ВОЛКОВ</w:t>
      </w:r>
    </w:p>
    <w:sectPr w:rsidR="00C125DA" w:rsidRPr="0054656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6D2" w:rsidRDefault="005716D2">
      <w:r>
        <w:separator/>
      </w:r>
    </w:p>
  </w:endnote>
  <w:endnote w:type="continuationSeparator" w:id="0">
    <w:p w:rsidR="005716D2" w:rsidRDefault="005716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DA" w:rsidRDefault="00C125DA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DA" w:rsidRDefault="00C125DA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6D2" w:rsidRDefault="005716D2">
      <w:r>
        <w:separator/>
      </w:r>
    </w:p>
  </w:footnote>
  <w:footnote w:type="continuationSeparator" w:id="0">
    <w:p w:rsidR="005716D2" w:rsidRDefault="005716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DA" w:rsidRDefault="00C125DA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5DA" w:rsidRDefault="00C125DA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5DA"/>
    <w:rsid w:val="005242E8"/>
    <w:rsid w:val="0054656C"/>
    <w:rsid w:val="005716D2"/>
    <w:rsid w:val="00C1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465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5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465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5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1757</Words>
  <Characters>10021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РМ от 28.11.2014 N 94-З
(ред. от 28.11.2025)
"О внесении изменений в некоторые законы Республики Мордовия о налогах"
(принят ГС РМ 26.11.2014)</vt:lpstr>
    </vt:vector>
  </TitlesOfParts>
  <Company>КонсультантПлюс Версия 4025.00.30</Company>
  <LinksUpToDate>false</LinksUpToDate>
  <CharactersWithSpaces>11755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РМ от 28.11.2014 N 94-З
(ред. от 28.11.2025)
"О внесении изменений в некоторые законы Республики Мордовия о налогах"
(принят ГС РМ 26.11.2014)</dc:title>
  <dc:creator>User</dc:creator>
  <cp:lastModifiedBy>User</cp:lastModifiedBy>
  <cp:revision>2</cp:revision>
  <dcterms:created xsi:type="dcterms:W3CDTF">2025-12-16T07:11:00Z</dcterms:created>
  <dcterms:modified xsi:type="dcterms:W3CDTF">2025-12-16T07:11:00Z</dcterms:modified>
</cp:coreProperties>
</file>