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E7" w:rsidRPr="00046AE7" w:rsidRDefault="00046AE7">
      <w:pPr>
        <w:pStyle w:val="ConsPlusNormal"/>
        <w:jc w:val="both"/>
        <w:outlineLvl w:val="0"/>
      </w:pPr>
    </w:p>
    <w:p w:rsidR="00046AE7" w:rsidRPr="00046AE7" w:rsidRDefault="00046AE7">
      <w:pPr>
        <w:pStyle w:val="ConsPlusTitle"/>
        <w:jc w:val="center"/>
      </w:pPr>
      <w:r w:rsidRPr="00046AE7">
        <w:t>САРАНСКИЙ ГОРОДСКОЙ СОВЕТ ДЕПУТАТОВ</w:t>
      </w:r>
    </w:p>
    <w:p w:rsidR="00046AE7" w:rsidRPr="00046AE7" w:rsidRDefault="00046AE7">
      <w:pPr>
        <w:pStyle w:val="ConsPlusTitle"/>
        <w:jc w:val="center"/>
      </w:pPr>
    </w:p>
    <w:p w:rsidR="00046AE7" w:rsidRPr="00046AE7" w:rsidRDefault="00046AE7">
      <w:pPr>
        <w:pStyle w:val="ConsPlusTitle"/>
        <w:jc w:val="center"/>
      </w:pPr>
      <w:r w:rsidRPr="00046AE7">
        <w:t>РЕШЕНИЕ</w:t>
      </w:r>
    </w:p>
    <w:p w:rsidR="00046AE7" w:rsidRPr="00046AE7" w:rsidRDefault="00046AE7">
      <w:pPr>
        <w:pStyle w:val="ConsPlusTitle"/>
        <w:jc w:val="center"/>
      </w:pPr>
      <w:r w:rsidRPr="00046AE7">
        <w:t>от 23 ноября 2005 г. N 174</w:t>
      </w:r>
    </w:p>
    <w:p w:rsidR="00046AE7" w:rsidRPr="00046AE7" w:rsidRDefault="00046AE7">
      <w:pPr>
        <w:pStyle w:val="ConsPlusTitle"/>
        <w:jc w:val="center"/>
      </w:pPr>
    </w:p>
    <w:p w:rsidR="00046AE7" w:rsidRPr="00046AE7" w:rsidRDefault="00046AE7">
      <w:pPr>
        <w:pStyle w:val="ConsPlusTitle"/>
        <w:jc w:val="center"/>
      </w:pPr>
      <w:r w:rsidRPr="00046AE7">
        <w:t>ОБ УСТАНОВЛЕНИИ ЗЕМЕЛЬНОГО НАЛОГА</w:t>
      </w:r>
    </w:p>
    <w:p w:rsidR="00046AE7" w:rsidRPr="00046AE7" w:rsidRDefault="00046AE7">
      <w:pPr>
        <w:pStyle w:val="ConsPlusNormal"/>
        <w:spacing w:after="1"/>
      </w:pPr>
    </w:p>
    <w:p w:rsidR="00046AE7" w:rsidRPr="00046AE7" w:rsidRDefault="00046AE7">
      <w:pPr>
        <w:pStyle w:val="ConsPlusNormal"/>
        <w:jc w:val="both"/>
      </w:pPr>
    </w:p>
    <w:p w:rsidR="00046AE7" w:rsidRPr="00046AE7" w:rsidRDefault="00046AE7">
      <w:pPr>
        <w:pStyle w:val="ConsPlusNormal"/>
        <w:ind w:firstLine="540"/>
        <w:jc w:val="both"/>
      </w:pPr>
      <w:r w:rsidRPr="00046AE7">
        <w:t>В соответствии с главой 31 Налогового кодекса Российской Федерации Саранский городской Совет депутатов решил: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>1. Ввести на территории муниципального образования г. Саранск земельный налог.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>2. Установить налоговые ставки земельного налога в размере: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>1) 0,3 процента в отношении земельных участков: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>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>2) 1,5 процента в отношении прочих земельных участков.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>3. Налогоплательщики и элементы налогообложения, а именно: объект налогообложения, налоговая база, налоговый период, порядок исчисления налога, сроки уплаты определяются главой 31 Налогового кодекса Российской Федерации.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 xml:space="preserve">4. Утратил силу. 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 xml:space="preserve">5. Организации уплачивают авансовые платежи по земельному налогу в срок не позднее 30 апреля, 31 июля, 31 октября текущего налогового периода, с окончательным </w:t>
      </w:r>
      <w:r w:rsidRPr="00046AE7">
        <w:lastRenderedPageBreak/>
        <w:t>сроком уплаты налога не позднее 1 марта года, следующего за истекшим налоговым периодом. Суммы авансовых платежей по земельному налогу исчисляются как одна четвертая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 xml:space="preserve">Часть вторая утратила силу с 1 января 2021 года. 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>6. Освободить от уплаты земельного налога следующие категории налогоплательщиков: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>организации - в отношении земельных участков, занятых под объектами и территориями, отведенными под места погребения;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>физические лица - в отношении земельных участков, входящих в состав территории садоводческого, огороднического или дачного некоммерческого объединения;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>организации - в отношении земельных участков для размещения спортивных объектов вместимостью более 40000 зрительских мест с момента ввода их в эксплуатацию;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>многодетные семьи, имеющие в своем составе пять и более детей, в отношении одного земельного участка с видом разрешенного использования для индивидуального жилищного строительства либо ведения личного подсобного хозяйства.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>7. 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путем опубликования в средствах массовой информации не позднее 1 марта указанного года.</w:t>
      </w:r>
    </w:p>
    <w:p w:rsidR="00046AE7" w:rsidRPr="00046AE7" w:rsidRDefault="00046AE7">
      <w:pPr>
        <w:pStyle w:val="ConsPlusNormal"/>
        <w:spacing w:before="240"/>
        <w:ind w:firstLine="540"/>
        <w:jc w:val="both"/>
      </w:pPr>
      <w:r w:rsidRPr="00046AE7">
        <w:t>8.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046AE7" w:rsidRPr="00046AE7" w:rsidRDefault="00046AE7">
      <w:pPr>
        <w:pStyle w:val="ConsPlusNormal"/>
        <w:jc w:val="both"/>
      </w:pPr>
    </w:p>
    <w:p w:rsidR="00046AE7" w:rsidRPr="00046AE7" w:rsidRDefault="00046AE7">
      <w:pPr>
        <w:pStyle w:val="ConsPlusNormal"/>
        <w:jc w:val="right"/>
      </w:pPr>
      <w:r w:rsidRPr="00046AE7">
        <w:t>Председатель Саранского</w:t>
      </w:r>
    </w:p>
    <w:p w:rsidR="00046AE7" w:rsidRPr="00046AE7" w:rsidRDefault="00046AE7">
      <w:pPr>
        <w:pStyle w:val="ConsPlusNormal"/>
        <w:jc w:val="right"/>
      </w:pPr>
      <w:r w:rsidRPr="00046AE7">
        <w:t>городского Совета депутатов</w:t>
      </w:r>
    </w:p>
    <w:p w:rsidR="00046AE7" w:rsidRPr="00046AE7" w:rsidRDefault="00046AE7">
      <w:pPr>
        <w:pStyle w:val="ConsPlusNormal"/>
        <w:jc w:val="right"/>
      </w:pPr>
      <w:r w:rsidRPr="00046AE7">
        <w:t>Н.Ф.БУРНАЙКИН</w:t>
      </w:r>
    </w:p>
    <w:p w:rsidR="0068077B" w:rsidRPr="00046AE7" w:rsidRDefault="0068077B">
      <w:bookmarkStart w:id="0" w:name="_GoBack"/>
      <w:bookmarkEnd w:id="0"/>
    </w:p>
    <w:sectPr w:rsidR="0068077B" w:rsidRPr="00046AE7" w:rsidSect="00A83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E7"/>
    <w:rsid w:val="00046AE7"/>
    <w:rsid w:val="0068077B"/>
    <w:rsid w:val="00FB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1ECE5-D9CA-41D3-90A4-59C2AC65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AE7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46AE7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46AE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Беспалова Валентина Сергеевна</dc:creator>
  <cp:keywords/>
  <dc:description/>
  <cp:lastModifiedBy>Беспалова Валентина Сергеевна</cp:lastModifiedBy>
  <cp:revision>2</cp:revision>
  <dcterms:created xsi:type="dcterms:W3CDTF">2026-07-13T06:47:00Z</dcterms:created>
  <dcterms:modified xsi:type="dcterms:W3CDTF">2026-07-13T06:49:00Z</dcterms:modified>
</cp:coreProperties>
</file>