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225AED" w:rsidRPr="00982F12" w:rsidTr="008723C9">
        <w:trPr>
          <w:cantSplit/>
        </w:trPr>
        <w:tc>
          <w:tcPr>
            <w:tcW w:w="10008" w:type="dxa"/>
            <w:hideMark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val="en-US" w:eastAsia="en-US"/>
              </w:rPr>
            </w:pPr>
            <w:r w:rsidRPr="00982F12">
              <w:rPr>
                <w:snapToGrid w:val="0"/>
              </w:rPr>
              <w:br w:type="page"/>
            </w:r>
            <w:r w:rsidRPr="00982F12">
              <w:rPr>
                <w:lang w:eastAsia="en-US"/>
              </w:rPr>
              <w:object w:dxaOrig="102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7" o:title=""/>
                </v:shape>
                <o:OLEObject Type="Embed" ProgID="Word.Picture.8" ShapeID="_x0000_i1025" DrawAspect="Content" ObjectID="_1529912933" r:id="rId8"/>
              </w:object>
            </w:r>
          </w:p>
        </w:tc>
      </w:tr>
      <w:tr w:rsidR="00225AED" w:rsidRPr="00982F12" w:rsidTr="008723C9">
        <w:trPr>
          <w:trHeight w:val="1602"/>
        </w:trPr>
        <w:tc>
          <w:tcPr>
            <w:tcW w:w="10008" w:type="dxa"/>
          </w:tcPr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982F12">
              <w:rPr>
                <w:b w:val="0"/>
                <w:szCs w:val="24"/>
                <w:lang w:eastAsia="en-US"/>
              </w:rPr>
              <w:t>МИНФИН РОССИИ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982F12">
              <w:rPr>
                <w:bCs/>
                <w:lang w:eastAsia="en-US"/>
              </w:rPr>
              <w:t>ФЕДЕРАЛЬНАЯ НАЛОГОВАЯ СЛУЖБА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225AED" w:rsidRPr="00982F12" w:rsidRDefault="00225AED" w:rsidP="008723C9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982F12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225AED" w:rsidRPr="00982F12" w:rsidRDefault="00225AED" w:rsidP="008723C9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982F12">
              <w:rPr>
                <w:lang w:eastAsia="en-US"/>
              </w:rPr>
              <w:t>(УФНС России по Республике Мордовия)</w:t>
            </w:r>
          </w:p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225AED" w:rsidRPr="00982F12" w:rsidRDefault="00225AED" w:rsidP="00225AED">
      <w:pPr>
        <w:jc w:val="center"/>
        <w:outlineLvl w:val="0"/>
        <w:rPr>
          <w:b/>
          <w:spacing w:val="40"/>
        </w:rPr>
      </w:pPr>
      <w:r w:rsidRPr="00982F12">
        <w:rPr>
          <w:b/>
          <w:spacing w:val="40"/>
        </w:rPr>
        <w:t>ПРОТОКОЛ</w:t>
      </w:r>
    </w:p>
    <w:p w:rsidR="00225AED" w:rsidRPr="00982F12" w:rsidRDefault="00225AED" w:rsidP="00225AED">
      <w:pPr>
        <w:jc w:val="center"/>
        <w:outlineLvl w:val="0"/>
        <w:rPr>
          <w:b/>
        </w:rPr>
      </w:pPr>
      <w:r w:rsidRPr="00982F12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225AED" w:rsidRPr="00982F12" w:rsidRDefault="00225AED" w:rsidP="00225AED">
      <w:pPr>
        <w:jc w:val="center"/>
        <w:outlineLvl w:val="0"/>
      </w:pPr>
    </w:p>
    <w:p w:rsidR="00225AED" w:rsidRPr="00982F12" w:rsidRDefault="00225AED" w:rsidP="00225AED">
      <w:pPr>
        <w:jc w:val="center"/>
        <w:outlineLvl w:val="0"/>
      </w:pPr>
      <w:r w:rsidRPr="00982F12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225AED" w:rsidRPr="00982F12" w:rsidTr="008723C9"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225AED" w:rsidP="008723C9">
            <w:pPr>
              <w:rPr>
                <w:lang w:val="en-US"/>
              </w:rPr>
            </w:pPr>
          </w:p>
        </w:tc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A22FD2" w:rsidP="008723C9">
            <w:r w:rsidRPr="00982F12">
              <w:t>июля</w:t>
            </w:r>
          </w:p>
        </w:tc>
        <w:tc>
          <w:tcPr>
            <w:tcW w:w="897" w:type="dxa"/>
            <w:hideMark/>
          </w:tcPr>
          <w:p w:rsidR="00225AED" w:rsidRPr="00982F12" w:rsidRDefault="00225AED" w:rsidP="00225AED">
            <w:r w:rsidRPr="00982F12">
              <w:rPr>
                <w:lang w:val="en-US"/>
              </w:rPr>
              <w:t>201</w:t>
            </w:r>
            <w:r w:rsidRPr="00982F12">
              <w:t>6</w:t>
            </w:r>
            <w:r w:rsidRPr="00982F12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225AED" w:rsidRPr="00982F12" w:rsidRDefault="00225AED" w:rsidP="008723C9">
            <w:pPr>
              <w:jc w:val="right"/>
            </w:pPr>
            <w:r w:rsidRPr="00982F12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A22FD2" w:rsidP="008723C9">
            <w:r w:rsidRPr="00982F12">
              <w:t>9</w:t>
            </w:r>
          </w:p>
        </w:tc>
      </w:tr>
    </w:tbl>
    <w:p w:rsidR="00225AED" w:rsidRPr="00982F12" w:rsidRDefault="00225AED" w:rsidP="00225AED"/>
    <w:p w:rsidR="00225AED" w:rsidRPr="00982F12" w:rsidRDefault="00225AED" w:rsidP="00225AED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Вдовин С.М.</w:t>
            </w:r>
          </w:p>
        </w:tc>
      </w:tr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82F12">
              <w:rPr>
                <w:b/>
                <w:lang w:eastAsia="en-US"/>
              </w:rPr>
              <w:t>Талалаева</w:t>
            </w:r>
            <w:proofErr w:type="spellEnd"/>
            <w:r w:rsidRPr="00982F12">
              <w:rPr>
                <w:b/>
                <w:lang w:eastAsia="en-US"/>
              </w:rPr>
              <w:t xml:space="preserve"> Н.А..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u w:val="single"/>
                <w:lang w:eastAsia="en-US"/>
              </w:rPr>
            </w:pPr>
            <w:r w:rsidRPr="00982F12"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225AED" w:rsidRPr="00982F12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Кондрашкина И.И., Герасименко А.В., Громов Г.А., </w:t>
            </w:r>
            <w:proofErr w:type="spellStart"/>
            <w:r w:rsidRPr="00982F12">
              <w:rPr>
                <w:b/>
                <w:lang w:eastAsia="en-US"/>
              </w:rPr>
              <w:t>Пакшин</w:t>
            </w:r>
            <w:proofErr w:type="spellEnd"/>
            <w:r w:rsidRPr="00982F12">
              <w:rPr>
                <w:b/>
                <w:lang w:eastAsia="en-US"/>
              </w:rPr>
              <w:t xml:space="preserve"> К.П., Грановская Н.А., Поздняков А.И.</w:t>
            </w:r>
            <w:r w:rsidR="00982F12" w:rsidRPr="00982F12">
              <w:rPr>
                <w:b/>
                <w:lang w:eastAsia="en-US"/>
              </w:rPr>
              <w:t>, Филиппова Н.А.</w:t>
            </w:r>
            <w:r w:rsidRPr="00982F12">
              <w:rPr>
                <w:b/>
                <w:lang w:eastAsia="en-US"/>
              </w:rPr>
              <w:t xml:space="preserve">   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982F12" w:rsidRDefault="00982F12" w:rsidP="008723C9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982F12">
              <w:rPr>
                <w:lang w:eastAsia="en-US"/>
              </w:rPr>
              <w:t>И.о</w:t>
            </w:r>
            <w:proofErr w:type="spellEnd"/>
            <w:r w:rsidRPr="00982F12">
              <w:rPr>
                <w:lang w:eastAsia="en-US"/>
              </w:rPr>
              <w:t>. р</w:t>
            </w:r>
            <w:r w:rsidR="00225AED" w:rsidRPr="00982F12">
              <w:rPr>
                <w:lang w:eastAsia="en-US"/>
              </w:rPr>
              <w:t>уководител</w:t>
            </w:r>
            <w:r w:rsidRPr="00982F12">
              <w:rPr>
                <w:lang w:eastAsia="en-US"/>
              </w:rPr>
              <w:t>я</w:t>
            </w:r>
            <w:r w:rsidR="00225AED" w:rsidRPr="00982F12">
              <w:rPr>
                <w:lang w:eastAsia="en-US"/>
              </w:rPr>
              <w:t xml:space="preserve"> УФНС России по Республике Мордовия</w:t>
            </w:r>
          </w:p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982F12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Вишнякова С.В.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Заместители руководителя УФНС России по Республике Мордовия</w:t>
            </w:r>
          </w:p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82F12">
              <w:rPr>
                <w:b/>
                <w:lang w:eastAsia="en-US"/>
              </w:rPr>
              <w:t>Шаляев</w:t>
            </w:r>
            <w:proofErr w:type="spellEnd"/>
            <w:r w:rsidRPr="00982F12">
              <w:rPr>
                <w:b/>
                <w:lang w:eastAsia="en-US"/>
              </w:rPr>
              <w:t xml:space="preserve"> С.Н., </w:t>
            </w:r>
            <w:proofErr w:type="spellStart"/>
            <w:r w:rsidRPr="00982F12">
              <w:rPr>
                <w:b/>
                <w:lang w:eastAsia="en-US"/>
              </w:rPr>
              <w:t>Чушников</w:t>
            </w:r>
            <w:proofErr w:type="spellEnd"/>
            <w:r w:rsidRPr="00982F12">
              <w:rPr>
                <w:b/>
                <w:lang w:eastAsia="en-US"/>
              </w:rPr>
              <w:t xml:space="preserve"> В.А.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Начальники (заместители начальников), специалисты отделов УФНС России по Республике Мордовия</w:t>
            </w:r>
          </w:p>
        </w:tc>
        <w:tc>
          <w:tcPr>
            <w:tcW w:w="6662" w:type="dxa"/>
            <w:hideMark/>
          </w:tcPr>
          <w:p w:rsidR="00225AED" w:rsidRPr="00982F12" w:rsidRDefault="00225AED" w:rsidP="00225AE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Фомкин Д.Д., Сухарева С.Г., Полушкин В.Ф., </w:t>
            </w:r>
            <w:proofErr w:type="spellStart"/>
            <w:r w:rsidRPr="00982F12">
              <w:rPr>
                <w:b/>
                <w:lang w:eastAsia="en-US"/>
              </w:rPr>
              <w:t>Челмакин</w:t>
            </w:r>
            <w:proofErr w:type="spellEnd"/>
            <w:r w:rsidRPr="00982F12">
              <w:rPr>
                <w:b/>
                <w:lang w:eastAsia="en-US"/>
              </w:rPr>
              <w:t xml:space="preserve"> Ю.И., Ваньков А.А., Бояркина С.А., Логинова А.В., </w:t>
            </w:r>
            <w:proofErr w:type="spellStart"/>
            <w:r w:rsidRPr="00982F12">
              <w:rPr>
                <w:b/>
                <w:lang w:eastAsia="en-US"/>
              </w:rPr>
              <w:t>Карьгина</w:t>
            </w:r>
            <w:proofErr w:type="spellEnd"/>
            <w:r w:rsidRPr="00982F12">
              <w:rPr>
                <w:b/>
                <w:lang w:eastAsia="en-US"/>
              </w:rPr>
              <w:t xml:space="preserve"> Н.И., Кривова В.С.</w:t>
            </w:r>
          </w:p>
        </w:tc>
      </w:tr>
    </w:tbl>
    <w:p w:rsidR="00225AED" w:rsidRPr="00982F12" w:rsidRDefault="00225AED" w:rsidP="00225AED">
      <w:pPr>
        <w:ind w:firstLine="360"/>
        <w:rPr>
          <w:b/>
        </w:rPr>
      </w:pPr>
    </w:p>
    <w:p w:rsidR="00225AED" w:rsidRPr="00982F12" w:rsidRDefault="00225AED" w:rsidP="00225AED">
      <w:pPr>
        <w:ind w:firstLine="360"/>
        <w:jc w:val="center"/>
        <w:rPr>
          <w:b/>
        </w:rPr>
      </w:pPr>
      <w:r w:rsidRPr="00982F12">
        <w:rPr>
          <w:b/>
        </w:rPr>
        <w:t>ПОВЕСТКА ДНЯ:</w:t>
      </w:r>
    </w:p>
    <w:p w:rsidR="00A22FD2" w:rsidRPr="00982F12" w:rsidRDefault="00A22FD2" w:rsidP="006562E9">
      <w:pPr>
        <w:jc w:val="both"/>
      </w:pPr>
      <w:r w:rsidRPr="00982F12">
        <w:t>1. </w:t>
      </w:r>
      <w:r w:rsidRPr="00982F12">
        <w:rPr>
          <w:b/>
        </w:rPr>
        <w:t>«О предварительных результатах начисления налога на имущество физических лиц на основании  кадастровой оценки»</w:t>
      </w:r>
      <w:r w:rsidRPr="00982F12">
        <w:t xml:space="preserve"> докладывает начальник отдела налогообложения имущества и доходов физических лиц </w:t>
      </w:r>
      <w:r w:rsidRPr="00982F12">
        <w:rPr>
          <w:b/>
        </w:rPr>
        <w:t>Д.Д.</w:t>
      </w:r>
      <w:r w:rsidR="00982F12" w:rsidRPr="00982F12">
        <w:rPr>
          <w:b/>
        </w:rPr>
        <w:t xml:space="preserve"> </w:t>
      </w:r>
      <w:r w:rsidRPr="00982F12">
        <w:rPr>
          <w:b/>
        </w:rPr>
        <w:t>Фомкин</w:t>
      </w:r>
      <w:r w:rsidRPr="00982F12">
        <w:t>.</w:t>
      </w:r>
    </w:p>
    <w:p w:rsidR="00A22FD2" w:rsidRPr="00982F12" w:rsidRDefault="00A22FD2" w:rsidP="006562E9"/>
    <w:p w:rsidR="00A22FD2" w:rsidRPr="00982F12" w:rsidRDefault="00A22FD2" w:rsidP="00A22FD2">
      <w:pPr>
        <w:jc w:val="both"/>
      </w:pPr>
      <w:r w:rsidRPr="00982F12">
        <w:t xml:space="preserve">2. </w:t>
      </w:r>
      <w:r w:rsidRPr="00982F12">
        <w:rPr>
          <w:b/>
        </w:rPr>
        <w:t xml:space="preserve">«О работе налоговых органов республики  с учетом изменений законодательства о государственной регистрации юридических лиц и индивидуальных </w:t>
      </w:r>
      <w:r w:rsidRPr="00982F12">
        <w:rPr>
          <w:b/>
        </w:rPr>
        <w:lastRenderedPageBreak/>
        <w:t>предпринимателях»</w:t>
      </w:r>
      <w:r w:rsidRPr="00982F12">
        <w:t xml:space="preserve"> докладывает начальник отдела регистрации и учета налогоплательщиков </w:t>
      </w:r>
      <w:r w:rsidRPr="00982F12">
        <w:rPr>
          <w:b/>
        </w:rPr>
        <w:t>С.Г.</w:t>
      </w:r>
      <w:r w:rsidR="00982F12" w:rsidRPr="00982F12">
        <w:rPr>
          <w:b/>
        </w:rPr>
        <w:t xml:space="preserve"> </w:t>
      </w:r>
      <w:r w:rsidRPr="00982F12">
        <w:rPr>
          <w:b/>
        </w:rPr>
        <w:t>Сухарева</w:t>
      </w:r>
      <w:r w:rsidRPr="00982F12">
        <w:t>.</w:t>
      </w:r>
    </w:p>
    <w:p w:rsidR="00225AED" w:rsidRPr="00982F12" w:rsidRDefault="00225AED" w:rsidP="00225AED">
      <w:pPr>
        <w:pStyle w:val="Default"/>
        <w:jc w:val="both"/>
        <w:rPr>
          <w:b/>
        </w:rPr>
      </w:pPr>
      <w:r w:rsidRPr="00982F12">
        <w:rPr>
          <w:b/>
        </w:rPr>
        <w:t xml:space="preserve">         </w:t>
      </w:r>
      <w:r w:rsidRPr="00982F12">
        <w:rPr>
          <w:b/>
        </w:rPr>
        <w:tab/>
      </w:r>
    </w:p>
    <w:p w:rsidR="00225AED" w:rsidRPr="00982F12" w:rsidRDefault="00225AED" w:rsidP="00225AED">
      <w:pPr>
        <w:pStyle w:val="Default"/>
        <w:jc w:val="both"/>
        <w:rPr>
          <w:b/>
        </w:rPr>
      </w:pPr>
      <w:r w:rsidRPr="00982F12">
        <w:rPr>
          <w:b/>
        </w:rPr>
        <w:t xml:space="preserve">          1. СЛУШАЛИ:</w:t>
      </w:r>
    </w:p>
    <w:p w:rsidR="00A22FD2" w:rsidRPr="00982F12" w:rsidRDefault="004437B1" w:rsidP="001C3C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82F12">
        <w:rPr>
          <w:rFonts w:ascii="Times New Roman" w:hAnsi="Times New Roman" w:cs="Times New Roman"/>
          <w:sz w:val="24"/>
          <w:szCs w:val="24"/>
        </w:rPr>
        <w:t xml:space="preserve">       </w:t>
      </w:r>
      <w:r w:rsidR="00A22FD2" w:rsidRPr="00982F12">
        <w:rPr>
          <w:rFonts w:ascii="Times New Roman" w:hAnsi="Times New Roman" w:cs="Times New Roman"/>
          <w:b/>
          <w:sz w:val="24"/>
          <w:szCs w:val="24"/>
        </w:rPr>
        <w:t>Фомкина</w:t>
      </w:r>
      <w:r w:rsidR="001C3CE5" w:rsidRPr="00982F12">
        <w:rPr>
          <w:rFonts w:ascii="Times New Roman" w:hAnsi="Times New Roman" w:cs="Times New Roman"/>
          <w:b/>
          <w:sz w:val="24"/>
          <w:szCs w:val="24"/>
        </w:rPr>
        <w:t xml:space="preserve"> Д.Д.</w:t>
      </w:r>
      <w:r w:rsidR="00225AED" w:rsidRPr="00982F12">
        <w:rPr>
          <w:rFonts w:ascii="Times New Roman" w:hAnsi="Times New Roman" w:cs="Times New Roman"/>
          <w:sz w:val="24"/>
          <w:szCs w:val="24"/>
        </w:rPr>
        <w:t xml:space="preserve"> – </w:t>
      </w:r>
      <w:r w:rsidR="00A22FD2" w:rsidRPr="00982F12">
        <w:rPr>
          <w:rFonts w:ascii="Times New Roman" w:hAnsi="Times New Roman" w:cs="Times New Roman"/>
          <w:sz w:val="24"/>
          <w:szCs w:val="24"/>
        </w:rPr>
        <w:t xml:space="preserve"> О предварительных результатах начисления налога на имущество физических лиц на основании  кадастровой оценки.</w:t>
      </w:r>
    </w:p>
    <w:p w:rsidR="00A22FD2" w:rsidRPr="00982F12" w:rsidRDefault="00A22FD2" w:rsidP="001C3CE5">
      <w:pPr>
        <w:ind w:firstLine="709"/>
        <w:jc w:val="both"/>
      </w:pPr>
      <w:r w:rsidRPr="00982F12">
        <w:t xml:space="preserve">  В своем выступлении Фомкин Д.Д.  сообщил  о завершении работы по формированию информационной базы и исчислению налога на имущество физических лиц за 2015 год. Это первое начисление налога по 32 главе Налогового кодекса.</w:t>
      </w:r>
      <w:r w:rsidR="001C3CE5" w:rsidRPr="00982F12">
        <w:t xml:space="preserve"> Также остановился на </w:t>
      </w:r>
      <w:r w:rsidRPr="00982F12">
        <w:t>основны</w:t>
      </w:r>
      <w:r w:rsidR="001C3CE5" w:rsidRPr="00982F12">
        <w:t>х</w:t>
      </w:r>
      <w:r w:rsidRPr="00982F12">
        <w:t xml:space="preserve"> отличия</w:t>
      </w:r>
      <w:r w:rsidR="001C3CE5" w:rsidRPr="00982F12">
        <w:t xml:space="preserve">х </w:t>
      </w:r>
      <w:r w:rsidRPr="00982F12">
        <w:t xml:space="preserve"> налога на имущество физических лиц, применяемого до 2014 года включительно, от вновь введённого порядка.</w:t>
      </w:r>
    </w:p>
    <w:p w:rsidR="00A22FD2" w:rsidRPr="00982F12" w:rsidRDefault="00A22FD2" w:rsidP="001C3CE5">
      <w:pPr>
        <w:ind w:firstLine="709"/>
        <w:jc w:val="both"/>
      </w:pPr>
      <w:r w:rsidRPr="00982F12">
        <w:t xml:space="preserve">1. </w:t>
      </w:r>
      <w:proofErr w:type="gramStart"/>
      <w:r w:rsidRPr="00982F12">
        <w:t>Самое главное отличие – ранее в качестве налоговой базы использовалась инвентаризационная стоимость, учитывающая лишь технические параметры объекта капитального строительства, а теперь – кадастровая стоимость, которая больше ориентируется на рыночную и учитывает местоположение объекта.</w:t>
      </w:r>
      <w:proofErr w:type="gramEnd"/>
    </w:p>
    <w:p w:rsidR="00A22FD2" w:rsidRPr="00982F12" w:rsidRDefault="00A22FD2" w:rsidP="001C3CE5">
      <w:pPr>
        <w:ind w:firstLine="709"/>
        <w:jc w:val="both"/>
      </w:pPr>
      <w:r w:rsidRPr="00982F12">
        <w:t>2. Новый налог предусматривает необлагаемые площади объектов: 10 м</w:t>
      </w:r>
      <w:proofErr w:type="gramStart"/>
      <w:r w:rsidRPr="00982F12">
        <w:rPr>
          <w:vertAlign w:val="superscript"/>
        </w:rPr>
        <w:t>2</w:t>
      </w:r>
      <w:proofErr w:type="gramEnd"/>
      <w:r w:rsidRPr="00982F12">
        <w:t xml:space="preserve"> для комнат, 20 м</w:t>
      </w:r>
      <w:r w:rsidRPr="00982F12">
        <w:rPr>
          <w:vertAlign w:val="superscript"/>
        </w:rPr>
        <w:t>2</w:t>
      </w:r>
      <w:r w:rsidRPr="00982F12">
        <w:t xml:space="preserve"> для квартир и 50 м</w:t>
      </w:r>
      <w:r w:rsidRPr="00982F12">
        <w:rPr>
          <w:vertAlign w:val="superscript"/>
        </w:rPr>
        <w:t>2</w:t>
      </w:r>
      <w:r w:rsidRPr="00982F12">
        <w:t xml:space="preserve"> для жилых домов. Старый налог таких преференций не предоставлял.</w:t>
      </w:r>
    </w:p>
    <w:p w:rsidR="00A22FD2" w:rsidRPr="00982F12" w:rsidRDefault="00A22FD2" w:rsidP="001C3CE5">
      <w:pPr>
        <w:ind w:firstLine="709"/>
        <w:jc w:val="both"/>
      </w:pPr>
      <w:r w:rsidRPr="00982F12">
        <w:t>3. Перечень категорий налогоплательщиков, имеющих право на освобождение от налогообложения, остался практически неизменным. Однако раньше льгота предоставлялась в отношении всех принадлежащих налогоплательщику объектов без исключения, теперь – в отношении одного объекта каждого вида (квартира, дом, гараж).</w:t>
      </w:r>
    </w:p>
    <w:p w:rsidR="00A22FD2" w:rsidRPr="00982F12" w:rsidRDefault="00A22FD2" w:rsidP="001C3CE5">
      <w:pPr>
        <w:ind w:firstLine="709"/>
        <w:jc w:val="both"/>
      </w:pPr>
      <w:r w:rsidRPr="00982F12">
        <w:t>4. Новый налог предусматривает 4</w:t>
      </w:r>
      <w:r w:rsidR="00982F12" w:rsidRPr="00982F12">
        <w:t>-</w:t>
      </w:r>
      <w:r w:rsidRPr="00982F12">
        <w:t>летний переходный период, в рамках которого применяются понижающие коэффициенты от 0,2 до 0,8. И только на 5-й год налог будет предъявляться к уплате в полном объёме.</w:t>
      </w:r>
    </w:p>
    <w:p w:rsidR="00A22FD2" w:rsidRPr="00982F12" w:rsidRDefault="00A22FD2" w:rsidP="001C3CE5">
      <w:pPr>
        <w:ind w:firstLine="709"/>
        <w:jc w:val="both"/>
      </w:pPr>
      <w:r w:rsidRPr="00982F12">
        <w:t xml:space="preserve">Кадастровая стоимость объектов капитального строительства на территории Республики Мордовия существенно выше инвентаризационной. Поэтому уменьшение налоговых поступлений даже в переходный период с учётом понижающих коэффициентов мы не прогнозировали. В настоящее время ещё идут отдельные процессы по формированию налоговых уведомлений, и сводные отчёты ещё не готовы. Поэтому точных цифр по динамики общего объёма налоговых начислений по новому налогу пока нет. По оперативным сведениям объём начислений </w:t>
      </w:r>
      <w:r w:rsidRPr="00982F12">
        <w:rPr>
          <w:u w:val="single"/>
        </w:rPr>
        <w:t>(вместе со льготами)</w:t>
      </w:r>
      <w:r w:rsidRPr="00982F12">
        <w:t xml:space="preserve"> увеличится </w:t>
      </w:r>
      <w:r w:rsidR="00982F12" w:rsidRPr="00982F12">
        <w:t>примерно</w:t>
      </w:r>
      <w:r w:rsidRPr="00982F12">
        <w:t xml:space="preserve"> на 15 % и составит более 100 млн. рублей (данные о начислении налога за 2014 год приведены в таблице).</w:t>
      </w:r>
    </w:p>
    <w:p w:rsidR="00A22FD2" w:rsidRPr="00982F12" w:rsidRDefault="00A22FD2" w:rsidP="001C3CE5">
      <w:pPr>
        <w:ind w:firstLine="709"/>
        <w:jc w:val="both"/>
      </w:pPr>
      <w:r w:rsidRPr="00982F12">
        <w:t>Однако, кроме оценки общего объёма налоговых поступлений, не менее важным является вопрос налоговой нагрузки в разрезе объектов налогообложения – сколько тот или иной гражданин будет обязан платить за своё имущество.</w:t>
      </w:r>
    </w:p>
    <w:p w:rsidR="00A22FD2" w:rsidRPr="00982F12" w:rsidRDefault="001C3CE5" w:rsidP="001C3CE5">
      <w:pPr>
        <w:ind w:firstLine="709"/>
        <w:jc w:val="both"/>
      </w:pPr>
      <w:r w:rsidRPr="00982F12">
        <w:t xml:space="preserve">Работниками налоговых органов республики </w:t>
      </w:r>
      <w:r w:rsidR="00A22FD2" w:rsidRPr="00982F12">
        <w:t xml:space="preserve"> прове</w:t>
      </w:r>
      <w:r w:rsidRPr="00982F12">
        <w:t>ден</w:t>
      </w:r>
      <w:r w:rsidR="00A22FD2" w:rsidRPr="00982F12">
        <w:t xml:space="preserve"> сравнительный анализ соотношения суммы налога, подлежащей уплате за 2014 год, то есть налога, исчисленного с инвентаризационной стоимости, и суммы налога, подлежащей уплате за 2015 год уже с кадастровой стоимости. Из произвольно отобранных 100 квартир в среднем сумма налога от кадастровой стоимости </w:t>
      </w:r>
      <w:r w:rsidR="00A22FD2" w:rsidRPr="00982F12">
        <w:rPr>
          <w:u w:val="single"/>
        </w:rPr>
        <w:t>(с учётом действующего в налоговом периоде 2015 года понижающего коэффициента 0.2)</w:t>
      </w:r>
      <w:r w:rsidR="00A22FD2" w:rsidRPr="00982F12">
        <w:t xml:space="preserve"> превысила сумму налога от инвентаризационной стоимости в 1,98 раза. При этом самое минимальное увеличение – в 1,07 раза, а максимальное – в 7,35 раза.</w:t>
      </w:r>
    </w:p>
    <w:p w:rsidR="00A22FD2" w:rsidRPr="00982F12" w:rsidRDefault="001C3CE5" w:rsidP="001C3CE5">
      <w:pPr>
        <w:ind w:firstLine="709"/>
        <w:jc w:val="both"/>
      </w:pPr>
      <w:r w:rsidRPr="00982F12">
        <w:t xml:space="preserve">Так же </w:t>
      </w:r>
      <w:r w:rsidR="00A22FD2" w:rsidRPr="00982F12">
        <w:t>проанализировали жилые дома. Эта категория объектов по сравнению с квартирами имеет б</w:t>
      </w:r>
      <w:r w:rsidR="00982F12" w:rsidRPr="00982F12">
        <w:t>о</w:t>
      </w:r>
      <w:r w:rsidR="00A22FD2" w:rsidRPr="00982F12">
        <w:t>льшее количество характеристик, а соответственно</w:t>
      </w:r>
      <w:r w:rsidR="00982F12" w:rsidRPr="00982F12">
        <w:t>,</w:t>
      </w:r>
      <w:r w:rsidR="00A22FD2" w:rsidRPr="00982F12">
        <w:t xml:space="preserve"> и отличий. В связи с этим </w:t>
      </w:r>
      <w:r w:rsidR="00982F12" w:rsidRPr="00982F12">
        <w:t>выборка была увеличена</w:t>
      </w:r>
      <w:r w:rsidR="00A22FD2" w:rsidRPr="00982F12">
        <w:t xml:space="preserve"> до 202 объектов. В среднем увеличение составил</w:t>
      </w:r>
      <w:r w:rsidR="00982F12" w:rsidRPr="00982F12">
        <w:t>о</w:t>
      </w:r>
      <w:r w:rsidR="00A22FD2" w:rsidRPr="00982F12">
        <w:t xml:space="preserve"> в 3.2 раза. Однако, в отличие от квартир</w:t>
      </w:r>
      <w:r w:rsidR="00982F12" w:rsidRPr="00982F12">
        <w:t>,</w:t>
      </w:r>
      <w:r w:rsidR="00A22FD2" w:rsidRPr="00982F12">
        <w:t xml:space="preserve"> наблюдается как увеличение суммы налога, подлежащей уплате, так и её снижение. Так, самое большое снижение суммы налога – в 19,9 раза или всего 5 % к сумме, исчисленной с инвентаризационной стоимости. Самое большое увеличение – в 29,02 раза.</w:t>
      </w:r>
    </w:p>
    <w:p w:rsidR="00A22FD2" w:rsidRPr="00982F12" w:rsidRDefault="00A22FD2" w:rsidP="001C3CE5">
      <w:pPr>
        <w:ind w:firstLine="709"/>
        <w:jc w:val="both"/>
      </w:pPr>
      <w:r w:rsidRPr="00982F12">
        <w:lastRenderedPageBreak/>
        <w:t>Основная причина изменений налоговой нагрузки – превышение общего уровня кадастровой стоимости объектов недвижимости над общим уровнем инвентаризационной стоимости этих объектов. Неровная динамика определяется значительным различием результатов инвентаризационной оценки по аналогичным объектам.</w:t>
      </w:r>
    </w:p>
    <w:p w:rsidR="00A22FD2" w:rsidRPr="00982F12" w:rsidRDefault="00A22FD2" w:rsidP="001C3CE5">
      <w:pPr>
        <w:ind w:firstLine="709"/>
        <w:jc w:val="both"/>
      </w:pPr>
      <w:r w:rsidRPr="00982F12">
        <w:t>В качестве дополнительных имеется ещё два фактора, которые наибольший вес приобретают при налогообложении жилых домов. Первый – это вычет в виде необлагаемой налогом площади в размере 50 м</w:t>
      </w:r>
      <w:proofErr w:type="gramStart"/>
      <w:r w:rsidRPr="00982F12">
        <w:rPr>
          <w:vertAlign w:val="superscript"/>
        </w:rPr>
        <w:t>2</w:t>
      </w:r>
      <w:proofErr w:type="gramEnd"/>
      <w:r w:rsidRPr="00982F12">
        <w:t xml:space="preserve">. Ранее такого вычета не было, а указанная площадь достаточно существенна, в результате чего </w:t>
      </w:r>
      <w:r w:rsidR="00982F12" w:rsidRPr="00982F12">
        <w:t xml:space="preserve">значительно </w:t>
      </w:r>
      <w:r w:rsidRPr="00982F12">
        <w:t xml:space="preserve">снижается налоговая нагрузка на небольшие дома, а иногда данный вычет покрывает даже площадь всего дома. Другой фактор – это ставка. Раньше она была дифференцирована от 0,1 до 2 %. Теперь по жилым домам на территории Республики Мордовия она фиксирована и равна 0,3 %. Поэтому </w:t>
      </w:r>
      <w:r w:rsidR="00982F12" w:rsidRPr="00982F12">
        <w:t xml:space="preserve">этот фактор </w:t>
      </w:r>
      <w:r w:rsidRPr="00982F12">
        <w:t xml:space="preserve">для тех, у кого </w:t>
      </w:r>
      <w:r w:rsidR="00982F12" w:rsidRPr="00982F12">
        <w:t>налого</w:t>
      </w:r>
      <w:r w:rsidRPr="00982F12">
        <w:t>обложение происходило по пониженной ставке в 0,1 %</w:t>
      </w:r>
      <w:r w:rsidR="00982F12" w:rsidRPr="00982F12">
        <w:t>,</w:t>
      </w:r>
      <w:r w:rsidRPr="00982F12">
        <w:t xml:space="preserve"> стал причиной увеличения налога в 3 раза. Для тех же, у кого применялась ставка 2%</w:t>
      </w:r>
      <w:r w:rsidR="00982F12" w:rsidRPr="00982F12">
        <w:t xml:space="preserve">, </w:t>
      </w:r>
      <w:r w:rsidRPr="00982F12">
        <w:t>налог снизился в 7 раз.</w:t>
      </w:r>
    </w:p>
    <w:p w:rsidR="004437B1" w:rsidRPr="00982F12" w:rsidRDefault="00A22FD2" w:rsidP="001C3CE5">
      <w:pPr>
        <w:pStyle w:val="a8"/>
        <w:jc w:val="both"/>
        <w:rPr>
          <w:color w:val="000000"/>
          <w:sz w:val="24"/>
          <w:szCs w:val="24"/>
        </w:rPr>
      </w:pPr>
      <w:r w:rsidRPr="0098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ED" w:rsidRPr="00982F12" w:rsidRDefault="00225AED" w:rsidP="00225AED">
      <w:pPr>
        <w:ind w:firstLine="720"/>
        <w:jc w:val="both"/>
        <w:rPr>
          <w:b/>
        </w:rPr>
      </w:pPr>
      <w:r w:rsidRPr="00982F12">
        <w:rPr>
          <w:b/>
        </w:rPr>
        <w:t>РЕШИЛИ:</w:t>
      </w:r>
    </w:p>
    <w:p w:rsidR="004437B1" w:rsidRPr="00982F12" w:rsidRDefault="004437B1" w:rsidP="004437B1">
      <w:pPr>
        <w:ind w:firstLine="720"/>
        <w:jc w:val="both"/>
      </w:pPr>
      <w:r w:rsidRPr="00982F12">
        <w:t xml:space="preserve">Принять к сведению выступление </w:t>
      </w:r>
      <w:r w:rsidR="001C3CE5" w:rsidRPr="00982F12">
        <w:t xml:space="preserve">начальника отдела налогообложения имущества и доходов физических лиц </w:t>
      </w:r>
      <w:r w:rsidR="001C3CE5" w:rsidRPr="00982F12">
        <w:rPr>
          <w:b/>
        </w:rPr>
        <w:t>Фомкина Д.Д</w:t>
      </w:r>
      <w:r w:rsidR="001C3CE5" w:rsidRPr="00982F12">
        <w:t>.</w:t>
      </w:r>
    </w:p>
    <w:p w:rsidR="001C3CE5" w:rsidRPr="00982F12" w:rsidRDefault="001C3CE5" w:rsidP="004437B1">
      <w:pPr>
        <w:ind w:firstLine="720"/>
        <w:jc w:val="both"/>
      </w:pPr>
    </w:p>
    <w:p w:rsidR="00225AED" w:rsidRPr="00982F12" w:rsidRDefault="00225AED" w:rsidP="00225AED">
      <w:pPr>
        <w:ind w:firstLine="720"/>
        <w:jc w:val="both"/>
        <w:rPr>
          <w:b/>
        </w:rPr>
      </w:pPr>
      <w:r w:rsidRPr="00982F12">
        <w:rPr>
          <w:b/>
        </w:rPr>
        <w:t>2. СЛУШАЛИ:</w:t>
      </w:r>
    </w:p>
    <w:p w:rsidR="00BF56FE" w:rsidRPr="00982F12" w:rsidRDefault="001C3CE5" w:rsidP="00BF56FE">
      <w:pPr>
        <w:spacing w:line="288" w:lineRule="auto"/>
        <w:ind w:firstLine="708"/>
        <w:jc w:val="both"/>
        <w:rPr>
          <w:b/>
          <w:bCs/>
        </w:rPr>
      </w:pPr>
      <w:r w:rsidRPr="00982F12">
        <w:rPr>
          <w:b/>
        </w:rPr>
        <w:t>Сухареву С.Г.</w:t>
      </w:r>
      <w:r w:rsidR="00982F12" w:rsidRPr="00982F12">
        <w:rPr>
          <w:b/>
        </w:rPr>
        <w:t xml:space="preserve"> </w:t>
      </w:r>
      <w:r w:rsidRPr="00982F12">
        <w:rPr>
          <w:b/>
        </w:rPr>
        <w:t>-</w:t>
      </w:r>
      <w:r w:rsidRPr="00982F12">
        <w:t xml:space="preserve"> </w:t>
      </w:r>
      <w:r w:rsidR="00BF56FE" w:rsidRPr="00982F12">
        <w:t xml:space="preserve">О работе налоговых органов республики  с учетом изменений законодательства о государственной регистрации юридических лиц и индивидуальных предпринимателях. В своем выступлении </w:t>
      </w:r>
      <w:proofErr w:type="spellStart"/>
      <w:r w:rsidR="00BF56FE" w:rsidRPr="00982F12">
        <w:t>С.Г.Сухарева</w:t>
      </w:r>
      <w:proofErr w:type="spellEnd"/>
      <w:r w:rsidR="00BF56FE" w:rsidRPr="00982F12">
        <w:t xml:space="preserve"> отметила основные  и</w:t>
      </w:r>
      <w:r w:rsidR="00BF56FE" w:rsidRPr="00982F12">
        <w:rPr>
          <w:bCs/>
        </w:rPr>
        <w:t>зменения, касающиеся вопросов государственной регистрации и  учет</w:t>
      </w:r>
      <w:r w:rsidR="002E6C1A">
        <w:rPr>
          <w:bCs/>
        </w:rPr>
        <w:t>а</w:t>
      </w:r>
      <w:r w:rsidR="00BF56FE" w:rsidRPr="00982F12">
        <w:rPr>
          <w:bCs/>
        </w:rPr>
        <w:t xml:space="preserve"> налогоплательщиков.</w:t>
      </w: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t>1. Государственная регистрация юридических лиц – качество и достоверность ЕГРЮЛ.</w:t>
      </w: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t>2. ЗАГС</w:t>
      </w:r>
      <w:r w:rsidR="00982F12" w:rsidRPr="00982F12">
        <w:rPr>
          <w:b/>
          <w:bCs/>
        </w:rPr>
        <w:t xml:space="preserve"> </w:t>
      </w:r>
      <w:r w:rsidRPr="00982F12">
        <w:rPr>
          <w:b/>
          <w:bCs/>
        </w:rPr>
        <w:t>- реестр населения</w:t>
      </w: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t>3. Реестр малого и среднего предпринимательства.</w:t>
      </w:r>
    </w:p>
    <w:p w:rsidR="00BF56FE" w:rsidRPr="00982F12" w:rsidRDefault="00BF56FE" w:rsidP="00BF56FE">
      <w:pPr>
        <w:ind w:firstLine="567"/>
        <w:jc w:val="both"/>
        <w:rPr>
          <w:bCs/>
        </w:rPr>
      </w:pP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t>1. Государственная регистрация юридических ли</w:t>
      </w:r>
      <w:proofErr w:type="gramStart"/>
      <w:r w:rsidRPr="00982F12">
        <w:rPr>
          <w:b/>
          <w:bCs/>
        </w:rPr>
        <w:t>ц–</w:t>
      </w:r>
      <w:proofErr w:type="gramEnd"/>
      <w:r w:rsidRPr="00982F12">
        <w:rPr>
          <w:b/>
          <w:bCs/>
        </w:rPr>
        <w:t xml:space="preserve"> качество и достоверность ЕГРЮЛ.</w:t>
      </w:r>
    </w:p>
    <w:p w:rsidR="00BF56FE" w:rsidRPr="00982F12" w:rsidRDefault="00BF56FE" w:rsidP="00BF56FE">
      <w:pPr>
        <w:ind w:firstLine="567"/>
        <w:jc w:val="both"/>
        <w:rPr>
          <w:bCs/>
        </w:rPr>
      </w:pPr>
    </w:p>
    <w:p w:rsidR="00BF56FE" w:rsidRPr="00982F12" w:rsidRDefault="00BF56FE" w:rsidP="00BF56FE">
      <w:pPr>
        <w:ind w:firstLine="567"/>
        <w:jc w:val="both"/>
      </w:pPr>
      <w:r w:rsidRPr="00982F12">
        <w:t>Федеральным законом от 30.03.2015 № 67-ФЗ внесены изменения,  в 129-ФЗ и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1. Во-первых, введена процедура проведения предусмотренной Гражданским кодексом Российской Федерации (ст. 51) проверки достоверности сведений, включаемых (до регистрации) или уже включенных в ЕГРЮЛ.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В случае выявления оснований для проведения проверки до государственной регистрации предусмотрена возможность приостановления государственной регистрации </w:t>
      </w:r>
      <w:r w:rsidRPr="00982F12">
        <w:rPr>
          <w:b/>
          <w:color w:val="000000"/>
        </w:rPr>
        <w:t>не более чем на один месяц</w:t>
      </w:r>
      <w:r w:rsidRPr="00982F12">
        <w:rPr>
          <w:color w:val="000000"/>
        </w:rPr>
        <w:t xml:space="preserve">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Для вновь создаваемых юридических лиц процедура приостановления государственной регистрации не применяется.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Основанием для проведения проверки </w:t>
      </w:r>
      <w:r w:rsidRPr="00982F12">
        <w:rPr>
          <w:b/>
          <w:color w:val="000000"/>
        </w:rPr>
        <w:t>является возникновение у регистрирующего органа обоснованных сомнений в их достоверности</w:t>
      </w:r>
      <w:r w:rsidRPr="00982F12">
        <w:rPr>
          <w:color w:val="000000"/>
        </w:rPr>
        <w:t xml:space="preserve">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ЕГРЮЛ.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lastRenderedPageBreak/>
        <w:t xml:space="preserve">2. </w:t>
      </w:r>
      <w:r w:rsidRPr="00982F12">
        <w:rPr>
          <w:b/>
          <w:color w:val="000000"/>
        </w:rPr>
        <w:t>Установлена возможность внесения записи о недостоверности сведений о юридическом лице самим регистрирующим органом без заявлений юридического лица и вынесения судебных актов</w:t>
      </w:r>
      <w:r w:rsidRPr="00982F12">
        <w:rPr>
          <w:color w:val="000000"/>
        </w:rPr>
        <w:t>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Данная запись может быть внесена в отношении сведений о юридическом лице (об адресе, месте нахождения юридического лица, руководителе и (или) учредителе (участнике) юридического лица и др.).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3. </w:t>
      </w:r>
      <w:r w:rsidRPr="00982F12">
        <w:rPr>
          <w:b/>
          <w:color w:val="000000"/>
        </w:rPr>
        <w:t>Введены дополнительные основания для отказа в государственной регистрации для определённых категорий лиц, задействованных ранее в деятельности юридических лиц, нарушивших законодательство</w:t>
      </w:r>
      <w:r w:rsidRPr="00982F12">
        <w:rPr>
          <w:color w:val="000000"/>
        </w:rPr>
        <w:t>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Ограничения на три года для внесения в ЕГРЮЛ сведений о лице как о постоянно действующем исполнительном органе или участнике (учредителе) юридического лица будут применяться в случае наличия у данного лица подобного статуса в отношении юридического лица:</w:t>
      </w:r>
    </w:p>
    <w:p w:rsidR="00BF56FE" w:rsidRPr="00982F12" w:rsidRDefault="00BF56FE" w:rsidP="00982F12">
      <w:pPr>
        <w:pStyle w:val="aa"/>
        <w:numPr>
          <w:ilvl w:val="0"/>
          <w:numId w:val="1"/>
        </w:numPr>
        <w:autoSpaceDE w:val="0"/>
        <w:autoSpaceDN w:val="0"/>
        <w:adjustRightInd w:val="0"/>
        <w:snapToGrid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982F12">
        <w:rPr>
          <w:b/>
          <w:color w:val="000000"/>
          <w:sz w:val="24"/>
          <w:szCs w:val="24"/>
        </w:rPr>
        <w:t>исключенного из реестра как недействующее юридическое лицо с задолженностью перед бюджетом (также при её списании по причине наличия у юридического лица признаков недействующего);</w:t>
      </w:r>
    </w:p>
    <w:p w:rsidR="00BF56FE" w:rsidRPr="00982F12" w:rsidRDefault="00BF56FE" w:rsidP="00982F12">
      <w:pPr>
        <w:pStyle w:val="aa"/>
        <w:numPr>
          <w:ilvl w:val="0"/>
          <w:numId w:val="1"/>
        </w:numPr>
        <w:autoSpaceDE w:val="0"/>
        <w:autoSpaceDN w:val="0"/>
        <w:adjustRightInd w:val="0"/>
        <w:snapToGrid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982F12">
        <w:rPr>
          <w:b/>
          <w:color w:val="000000"/>
          <w:sz w:val="24"/>
          <w:szCs w:val="24"/>
        </w:rPr>
        <w:t xml:space="preserve">по </w:t>
      </w:r>
      <w:proofErr w:type="gramStart"/>
      <w:r w:rsidRPr="00982F12">
        <w:rPr>
          <w:b/>
          <w:color w:val="000000"/>
          <w:sz w:val="24"/>
          <w:szCs w:val="24"/>
        </w:rPr>
        <w:t>которому</w:t>
      </w:r>
      <w:proofErr w:type="gramEnd"/>
      <w:r w:rsidRPr="00982F12">
        <w:rPr>
          <w:b/>
          <w:color w:val="000000"/>
          <w:sz w:val="24"/>
          <w:szCs w:val="24"/>
        </w:rPr>
        <w:t xml:space="preserve"> в ЕГРЮЛ содержится запись о недостоверности;</w:t>
      </w:r>
    </w:p>
    <w:p w:rsidR="00BF56FE" w:rsidRPr="00982F12" w:rsidRDefault="00BF56FE" w:rsidP="00982F12">
      <w:pPr>
        <w:pStyle w:val="aa"/>
        <w:numPr>
          <w:ilvl w:val="0"/>
          <w:numId w:val="1"/>
        </w:numPr>
        <w:autoSpaceDE w:val="0"/>
        <w:autoSpaceDN w:val="0"/>
        <w:adjustRightInd w:val="0"/>
        <w:snapToGrid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982F12">
        <w:rPr>
          <w:b/>
          <w:color w:val="000000"/>
          <w:sz w:val="24"/>
          <w:szCs w:val="24"/>
        </w:rPr>
        <w:t xml:space="preserve">по </w:t>
      </w:r>
      <w:proofErr w:type="gramStart"/>
      <w:r w:rsidRPr="00982F12">
        <w:rPr>
          <w:b/>
          <w:color w:val="000000"/>
          <w:sz w:val="24"/>
          <w:szCs w:val="24"/>
        </w:rPr>
        <w:t>которому</w:t>
      </w:r>
      <w:proofErr w:type="gramEnd"/>
      <w:r w:rsidRPr="00982F12">
        <w:rPr>
          <w:b/>
          <w:color w:val="000000"/>
          <w:sz w:val="24"/>
          <w:szCs w:val="24"/>
        </w:rPr>
        <w:t xml:space="preserve"> не исполнено решение суда о принудительной ликвидации.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Введено основание для отказа в государственной регистрации общего характера - несоблюдение установленного законодательством Российской Федерации порядка проведения процедуры ликвидации или реорганизации юридического лица, а также иных требований, установленных настоящим Федеральным законом в качестве обязательных для осуществления государственной регистрации.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b/>
          <w:color w:val="000000"/>
        </w:rPr>
        <w:t>4. Введена процедура</w:t>
      </w:r>
      <w:r w:rsidRPr="00982F12">
        <w:rPr>
          <w:color w:val="000000"/>
        </w:rPr>
        <w:t xml:space="preserve"> </w:t>
      </w:r>
      <w:r w:rsidRPr="00982F12">
        <w:rPr>
          <w:b/>
          <w:color w:val="000000"/>
        </w:rPr>
        <w:t>предварительного уведомления об изменении места нахождения юридического лица</w:t>
      </w:r>
      <w:r w:rsidRPr="00982F12">
        <w:rPr>
          <w:color w:val="000000"/>
        </w:rPr>
        <w:t>. Представление документов для регистрации изменения места нахождения запрещено до истечения 20 дней с момента внесения соответствующей записи в ЕГРЮЛ.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Регистрация изменения места нахождения юридического лица осуществляется с 01.01.2016 года инспекцией по новому месту нахождения!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82F12">
        <w:rPr>
          <w:b/>
          <w:color w:val="000000"/>
        </w:rPr>
        <w:t>5. Изменено взаимодействие с нотариусами: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регистрирующий орган получил доступ к сведениям о совершенных нотариальных действиях;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заявителем  по подлежащим нотариальному удостоверению сделкам о переходе залога доли или части доли в уставном капитале общества с ограниченной ответственностью будет  являться нотариус;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>предусмотрена возможность представления документов в регистрирующий орган по просьбе заявителя нотариусом в электронном виде, а также получения через нотариуса документов, подтверждающих факт внесения записи в соответствующий государственный реестр или факт отказа в государственной регистрации.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982F12">
        <w:t xml:space="preserve">Приказом ФНС России от 11.02.2016 года № ММВ-7-14/72@  «Об установлении оснований, условий и способов проведения мероприятий, указанных в пункте 4.2 статьи 9 Федерального закона от 08.08.2001 № 129-ФЗ «О государственной регистрации юридических лиц и индивидуальных предпринимателей»,  </w:t>
      </w:r>
      <w:r w:rsidRPr="00982F12">
        <w:rPr>
          <w:b/>
        </w:rPr>
        <w:t>утвержден  порядок использования результатов контрольных мероприятий, утверждены формы письменного возражения относительно предстоящей государственной регистрации и формы заявления физического лица о недостоверности сведений о нем в</w:t>
      </w:r>
      <w:proofErr w:type="gramEnd"/>
      <w:r w:rsidRPr="00982F12">
        <w:rPr>
          <w:b/>
        </w:rPr>
        <w:t xml:space="preserve"> едином государственном </w:t>
      </w:r>
      <w:proofErr w:type="gramStart"/>
      <w:r w:rsidRPr="00982F12">
        <w:rPr>
          <w:b/>
        </w:rPr>
        <w:t>реестре</w:t>
      </w:r>
      <w:proofErr w:type="gramEnd"/>
      <w:r w:rsidRPr="00982F12">
        <w:rPr>
          <w:b/>
        </w:rPr>
        <w:t xml:space="preserve"> юридических лиц.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Приказ ФНС России  №72 регламентирует мероприятия по проверке достоверности включаемых или уже содержащихся в ЕГРЮЛ сведений, а также порядок использования результатов этих мероприятий.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lastRenderedPageBreak/>
        <w:t xml:space="preserve">Этим же приказом утверждены форма письменного возражения заинтересованного лица относительно предстоящей государственной регистрации, а также форма заявления физического лица о недостоверности сведений о нем в реестре.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Например, если заинтересованное лицо направит письменное возражение относительно предстоящей </w:t>
      </w:r>
      <w:proofErr w:type="spellStart"/>
      <w:r w:rsidRPr="00982F12">
        <w:rPr>
          <w:color w:val="000000"/>
        </w:rPr>
        <w:t>госрегистрации</w:t>
      </w:r>
      <w:proofErr w:type="spellEnd"/>
      <w:r w:rsidRPr="00982F12">
        <w:rPr>
          <w:color w:val="000000"/>
        </w:rPr>
        <w:t xml:space="preserve"> изменений в уставе компании, то это станет основанием для проверки и, возможно, отказа в регистрации.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Если же будет установлена недостоверность уже содержащихся в ЕГРЮЛ сведений, регистрирующий орган вправе внести запись о недостоверности, тем самым информируя об этом заинтересованных лиц.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2F12">
        <w:rPr>
          <w:color w:val="000000"/>
        </w:rPr>
        <w:t xml:space="preserve">Применение данного документа позволит повысить качество и достоверность информации в ЕГРЮЛ. Таким образом, бизнес получит эффективный инструмент для работы с контрагентами, что улучшит инвестиционный климат в стране. </w:t>
      </w:r>
    </w:p>
    <w:p w:rsidR="00BF56FE" w:rsidRPr="00982F12" w:rsidRDefault="00BF56FE" w:rsidP="00BF56FE"/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Возражения заинтересованного лица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предоставляются </w:t>
      </w:r>
      <w:r w:rsidRPr="00982F12">
        <w:rPr>
          <w:b/>
        </w:rPr>
        <w:t>по форме № 38001</w:t>
      </w:r>
      <w:r w:rsidRPr="00982F12">
        <w:t>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82F12">
        <w:t xml:space="preserve">Заявления заинтересованного лица о недостоверности сведений, включенных в Едином государственном реестре юридических лиц, предоставляются по форме </w:t>
      </w:r>
      <w:r w:rsidRPr="00982F12">
        <w:rPr>
          <w:b/>
        </w:rPr>
        <w:t>№ 34002 (к недостоверным сведениям относятся сведения об адресе юридического лица, об учредителе, руководителе организации).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К Возражению (Заявлению) </w:t>
      </w:r>
      <w:r w:rsidRPr="00982F12">
        <w:rPr>
          <w:b/>
        </w:rPr>
        <w:t>прилагаются документы, подтверждающие обстоятельства недостоверности сведений</w:t>
      </w:r>
      <w:r w:rsidRPr="00982F12">
        <w:t>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>Возражение (Заявление) может быть направлено: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- </w:t>
      </w:r>
      <w:r w:rsidRPr="00982F12">
        <w:rPr>
          <w:b/>
        </w:rPr>
        <w:t>почтовым отправлением</w:t>
      </w:r>
      <w:r w:rsidRPr="00982F12">
        <w:t xml:space="preserve"> (при </w:t>
      </w:r>
      <w:r w:rsidRPr="00982F12">
        <w:rPr>
          <w:b/>
        </w:rPr>
        <w:t>этом подлинность подписи заинтересованного лица или уполномоченного представителя заинтересованного юридического лица должна быть засвидетельствована в нотариальном порядке</w:t>
      </w:r>
      <w:r w:rsidRPr="00982F12">
        <w:t>);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rPr>
          <w:b/>
        </w:rPr>
        <w:t>- представлено непосредственно в регистрирующий орган (одновременно должен быть предъявлен документ, удостоверяющий личность заинтересованного лица</w:t>
      </w:r>
      <w:r w:rsidRPr="00982F12">
        <w:t>). При подаче документов уполномоченным представителем заинтересованного юридического лица к письменному возражению должна быть приложена нотариально удостоверенная доверенность или ее копия, верность которой засвидетельствована в нотариальном порядке;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- </w:t>
      </w:r>
      <w:r w:rsidRPr="00982F12">
        <w:rPr>
          <w:b/>
        </w:rPr>
        <w:t>направлено в форме электронного документа, подписанного электронной подписью, с использованием сети «Интернет</w:t>
      </w:r>
      <w:r w:rsidRPr="00982F12">
        <w:t>».</w:t>
      </w:r>
    </w:p>
    <w:p w:rsidR="00BF56FE" w:rsidRPr="00982F12" w:rsidRDefault="00BF56FE" w:rsidP="00BF56FE">
      <w:pPr>
        <w:pStyle w:val="aa"/>
        <w:ind w:left="0" w:firstLine="708"/>
        <w:jc w:val="both"/>
        <w:rPr>
          <w:color w:val="FF0000"/>
          <w:sz w:val="24"/>
          <w:szCs w:val="24"/>
        </w:rPr>
      </w:pPr>
    </w:p>
    <w:p w:rsidR="00BF56FE" w:rsidRPr="00982F12" w:rsidRDefault="00BF56FE" w:rsidP="00BF56FE">
      <w:pPr>
        <w:pStyle w:val="aa"/>
        <w:ind w:left="0" w:firstLine="708"/>
        <w:jc w:val="both"/>
        <w:rPr>
          <w:color w:val="FF0000"/>
          <w:sz w:val="24"/>
          <w:szCs w:val="24"/>
        </w:rPr>
      </w:pPr>
      <w:r w:rsidRPr="00982F12">
        <w:rPr>
          <w:b/>
          <w:sz w:val="24"/>
          <w:szCs w:val="24"/>
        </w:rPr>
        <w:t>ЕГРЮЛ является одни из самых публичных реестров в России, количество обращений к ним составляет миллиарды в год. Налоговые органы сегодня наделены возможностью вносить в государственные реестры сведения о недостоверности.</w:t>
      </w:r>
    </w:p>
    <w:p w:rsidR="00BF56FE" w:rsidRPr="00982F12" w:rsidRDefault="00BF56FE" w:rsidP="00BF56FE">
      <w:pPr>
        <w:pStyle w:val="aa"/>
        <w:ind w:left="0" w:firstLine="708"/>
        <w:jc w:val="both"/>
        <w:rPr>
          <w:color w:val="FF0000"/>
          <w:sz w:val="24"/>
          <w:szCs w:val="24"/>
        </w:rPr>
      </w:pP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color w:val="FF0000"/>
          <w:sz w:val="24"/>
          <w:szCs w:val="24"/>
        </w:rPr>
        <w:t xml:space="preserve"> </w:t>
      </w:r>
      <w:r w:rsidRPr="00982F12">
        <w:rPr>
          <w:sz w:val="24"/>
          <w:szCs w:val="24"/>
        </w:rPr>
        <w:t>Налоговыми органами Мордовии также проводится работа по обеспечению достоверности сведений об адресах юридических лиц. Формируется список особого контроля, в который по состоянию на 2016 года включено 249 организаций.</w:t>
      </w:r>
    </w:p>
    <w:p w:rsidR="00BF56FE" w:rsidRPr="00982F12" w:rsidRDefault="00BF56FE" w:rsidP="00BF56FE">
      <w:pPr>
        <w:pStyle w:val="aa"/>
        <w:ind w:left="0"/>
        <w:jc w:val="both"/>
        <w:rPr>
          <w:sz w:val="24"/>
          <w:szCs w:val="24"/>
        </w:rPr>
      </w:pPr>
      <w:r w:rsidRPr="00982F12">
        <w:rPr>
          <w:sz w:val="24"/>
          <w:szCs w:val="24"/>
        </w:rPr>
        <w:tab/>
        <w:t xml:space="preserve">В настоящее время в ЕГРЮЛ внесено </w:t>
      </w:r>
      <w:r w:rsidRPr="00982F12">
        <w:rPr>
          <w:b/>
          <w:sz w:val="24"/>
          <w:szCs w:val="24"/>
        </w:rPr>
        <w:t>342 записи об отсутствии ЮЛ</w:t>
      </w:r>
      <w:r w:rsidRPr="00982F12">
        <w:rPr>
          <w:sz w:val="24"/>
          <w:szCs w:val="24"/>
        </w:rPr>
        <w:t xml:space="preserve"> по заявленному адресу (252 – в 2015, 90-2016),    из них - 252 еще не ликвидированы</w:t>
      </w:r>
      <w:proofErr w:type="gramStart"/>
      <w:r w:rsidRPr="00982F12">
        <w:rPr>
          <w:sz w:val="24"/>
          <w:szCs w:val="24"/>
        </w:rPr>
        <w:t xml:space="preserve"> .</w:t>
      </w:r>
      <w:proofErr w:type="gramEnd"/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Указанные сведения о недостоверности адреса юридического лица включается в выписку из </w:t>
      </w:r>
      <w:proofErr w:type="gramStart"/>
      <w:r w:rsidRPr="00982F12">
        <w:t>ЕГРЮЛ</w:t>
      </w:r>
      <w:proofErr w:type="gramEnd"/>
      <w:r w:rsidRPr="00982F12">
        <w:t xml:space="preserve"> и все заинтересованные лица могут получить данную информацию на сайте ФНС России.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  <w:r w:rsidRPr="00982F12">
        <w:t xml:space="preserve">В случае не представления достоверной информации по </w:t>
      </w:r>
      <w:proofErr w:type="spellStart"/>
      <w:r w:rsidRPr="00982F12">
        <w:t>аддресу</w:t>
      </w:r>
      <w:proofErr w:type="spellEnd"/>
      <w:r w:rsidRPr="00982F12">
        <w:t xml:space="preserve">, в отношении юридических лиц будет инициирована процедура принудительной </w:t>
      </w:r>
      <w:proofErr w:type="spellStart"/>
      <w:r w:rsidRPr="00982F12">
        <w:t>лквидации</w:t>
      </w:r>
      <w:proofErr w:type="spellEnd"/>
      <w:r w:rsidRPr="00982F12">
        <w:t xml:space="preserve"> со всеми вытекающими последствиями.    </w:t>
      </w:r>
    </w:p>
    <w:p w:rsidR="00BF56FE" w:rsidRPr="00982F12" w:rsidRDefault="00BF56FE" w:rsidP="00BF56FE">
      <w:pPr>
        <w:autoSpaceDE w:val="0"/>
        <w:autoSpaceDN w:val="0"/>
        <w:adjustRightInd w:val="0"/>
        <w:ind w:firstLine="709"/>
        <w:jc w:val="both"/>
      </w:pPr>
    </w:p>
    <w:p w:rsidR="00BF56FE" w:rsidRPr="00982F12" w:rsidRDefault="00BF56FE" w:rsidP="00BF56FE">
      <w:pPr>
        <w:pStyle w:val="aa"/>
        <w:ind w:left="0"/>
        <w:jc w:val="both"/>
        <w:rPr>
          <w:color w:val="FF0000"/>
          <w:sz w:val="24"/>
          <w:szCs w:val="24"/>
        </w:rPr>
      </w:pP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lastRenderedPageBreak/>
        <w:t>2. ЗАГС</w:t>
      </w:r>
      <w:r w:rsidR="00982F12" w:rsidRPr="00982F12">
        <w:rPr>
          <w:b/>
          <w:bCs/>
        </w:rPr>
        <w:t xml:space="preserve"> </w:t>
      </w:r>
      <w:r w:rsidRPr="00982F12">
        <w:rPr>
          <w:b/>
          <w:bCs/>
        </w:rPr>
        <w:t>- реестр населения</w:t>
      </w:r>
    </w:p>
    <w:p w:rsidR="00BF56FE" w:rsidRPr="00982F12" w:rsidRDefault="00BF56FE" w:rsidP="00BF56FE">
      <w:pPr>
        <w:ind w:firstLine="567"/>
        <w:jc w:val="both"/>
        <w:rPr>
          <w:b/>
          <w:bCs/>
        </w:rPr>
      </w:pP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Президент Российской Федерации подписал </w:t>
      </w:r>
      <w:hyperlink r:id="rId9" w:tgtFrame="_blank" w:history="1">
        <w:r w:rsidRPr="00982F12">
          <w:rPr>
            <w:sz w:val="24"/>
            <w:szCs w:val="24"/>
          </w:rPr>
          <w:t>Федеральный закон № 219-ФЗ «О внесении изменений в Федеральный закон «Об актах гражданского состояния»</w:t>
        </w:r>
      </w:hyperlink>
      <w:r w:rsidRPr="00982F12">
        <w:rPr>
          <w:sz w:val="24"/>
          <w:szCs w:val="24"/>
        </w:rPr>
        <w:t xml:space="preserve">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Законом предусмотрено внесение записей актов гражданского состояния с 1 января 2018 года в федеральную информационную систему Единого государственного реестра записей актов гражданского состояния. Оператором федеральной информационной системы определена Федеральная налоговая служба.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форме,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Федеральным законом.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В Единый государственный реестр ЗАГС также включаются сведения о документах, выданных компетентными органами иностранных государств в отношении граждан Российской Федерации.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Федеральным законом предусмотрен перевод в электронную форму книг государственной регистрации актов гражданского состояния (актовых книг), составленных на бумажных носителях.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Реализация закона обеспечит создание единого информационного ресурса, содержащего сведения об актах гражданского состояния. Это позволит перейти на юридически значимый электронный документооборот в сфере </w:t>
      </w:r>
      <w:proofErr w:type="spellStart"/>
      <w:r w:rsidRPr="00982F12">
        <w:rPr>
          <w:sz w:val="24"/>
          <w:szCs w:val="24"/>
        </w:rPr>
        <w:t>госрегистрации</w:t>
      </w:r>
      <w:proofErr w:type="spellEnd"/>
      <w:r w:rsidRPr="00982F12">
        <w:rPr>
          <w:sz w:val="24"/>
          <w:szCs w:val="24"/>
        </w:rPr>
        <w:t xml:space="preserve"> актов гражданского состояния, сократить сроки оказания данных </w:t>
      </w:r>
      <w:proofErr w:type="spellStart"/>
      <w:r w:rsidRPr="00982F12">
        <w:rPr>
          <w:sz w:val="24"/>
          <w:szCs w:val="24"/>
        </w:rPr>
        <w:t>госуслуг</w:t>
      </w:r>
      <w:proofErr w:type="spellEnd"/>
      <w:r w:rsidRPr="00982F12">
        <w:rPr>
          <w:sz w:val="24"/>
          <w:szCs w:val="24"/>
        </w:rPr>
        <w:t xml:space="preserve"> и обеспечить их получение по месту жительства заявителя или в выбранном органе ЗАГС. </w:t>
      </w:r>
    </w:p>
    <w:p w:rsidR="00BF56FE" w:rsidRPr="00982F12" w:rsidRDefault="00BF56FE" w:rsidP="00BF56FE">
      <w:pPr>
        <w:ind w:firstLine="567"/>
        <w:jc w:val="both"/>
        <w:rPr>
          <w:b/>
          <w:bCs/>
        </w:rPr>
      </w:pPr>
    </w:p>
    <w:p w:rsidR="00BF56FE" w:rsidRPr="00982F12" w:rsidRDefault="00BF56FE" w:rsidP="00BF56FE">
      <w:pPr>
        <w:ind w:firstLine="567"/>
        <w:jc w:val="both"/>
        <w:rPr>
          <w:b/>
          <w:bCs/>
        </w:rPr>
      </w:pPr>
      <w:r w:rsidRPr="00982F12">
        <w:rPr>
          <w:b/>
          <w:bCs/>
        </w:rPr>
        <w:t>3. Реестр малого и среднего предпринимательства.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</w:p>
    <w:p w:rsidR="00BF56FE" w:rsidRPr="00982F12" w:rsidRDefault="00BF56FE" w:rsidP="00BF56FE">
      <w:pPr>
        <w:pStyle w:val="aa"/>
        <w:ind w:left="0" w:firstLine="708"/>
        <w:jc w:val="both"/>
        <w:rPr>
          <w:b/>
          <w:sz w:val="24"/>
          <w:szCs w:val="24"/>
        </w:rPr>
      </w:pPr>
      <w:r w:rsidRPr="00982F12">
        <w:rPr>
          <w:sz w:val="24"/>
          <w:szCs w:val="24"/>
        </w:rPr>
        <w:t xml:space="preserve">К 1 августа будет создан  </w:t>
      </w:r>
      <w:r w:rsidRPr="00982F12">
        <w:rPr>
          <w:b/>
          <w:sz w:val="24"/>
          <w:szCs w:val="24"/>
        </w:rPr>
        <w:t>Единый реестр субъектов малого и среднего предпринимательства.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 Формирование реестра возложено на </w:t>
      </w:r>
      <w:r w:rsidRPr="00982F12">
        <w:rPr>
          <w:b/>
          <w:sz w:val="24"/>
          <w:szCs w:val="24"/>
        </w:rPr>
        <w:t>Федеральную налоговую службу</w:t>
      </w:r>
      <w:r w:rsidRPr="00982F12">
        <w:rPr>
          <w:sz w:val="24"/>
          <w:szCs w:val="24"/>
        </w:rPr>
        <w:t>.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>В реестр субъектов МСП включаются лица, соответствующие требованиям, установленным Федеральным законом от 29 декабря 2015 г. № 408-ФЗ «</w:t>
      </w:r>
      <w:hyperlink r:id="rId10" w:tgtFrame="_blank" w:history="1">
        <w:r w:rsidRPr="00982F12">
          <w:rPr>
            <w:sz w:val="24"/>
            <w:szCs w:val="24"/>
          </w:rPr>
          <w:t>О внесении изменений в отдельные законодательные акты Российской Федерации</w:t>
        </w:r>
      </w:hyperlink>
      <w:r w:rsidRPr="00982F12">
        <w:rPr>
          <w:sz w:val="24"/>
          <w:szCs w:val="24"/>
        </w:rPr>
        <w:t xml:space="preserve">». В частности, установлены предельные значения среднесписочной численности работников для каждой категории субъектов малого и среднего предпринимательства, </w:t>
      </w:r>
      <w:proofErr w:type="gramStart"/>
      <w:r w:rsidRPr="00982F12">
        <w:rPr>
          <w:sz w:val="24"/>
          <w:szCs w:val="24"/>
        </w:rPr>
        <w:t>при</w:t>
      </w:r>
      <w:proofErr w:type="gramEnd"/>
      <w:r w:rsidRPr="00982F12">
        <w:rPr>
          <w:sz w:val="24"/>
          <w:szCs w:val="24"/>
        </w:rPr>
        <w:t xml:space="preserve"> которой компания автоматически считается малым, средним или </w:t>
      </w:r>
      <w:proofErr w:type="spellStart"/>
      <w:r w:rsidRPr="00982F12">
        <w:rPr>
          <w:sz w:val="24"/>
          <w:szCs w:val="24"/>
        </w:rPr>
        <w:t>микропредприятием</w:t>
      </w:r>
      <w:proofErr w:type="spellEnd"/>
      <w:r w:rsidRPr="00982F12">
        <w:rPr>
          <w:sz w:val="24"/>
          <w:szCs w:val="24"/>
        </w:rPr>
        <w:t>. Кроме этого, для каждой категории субъектов малого и среднего предпринимательства утверждены предельные значения дохода. Например, малое предприятие включат в Реестр при наличии штата до 100 человек и с суммой дохода от 120 до 800 млн</w:t>
      </w:r>
      <w:r w:rsidR="00982F12" w:rsidRPr="00982F12">
        <w:rPr>
          <w:sz w:val="24"/>
          <w:szCs w:val="24"/>
        </w:rPr>
        <w:t>.</w:t>
      </w:r>
      <w:r w:rsidRPr="00982F12">
        <w:rPr>
          <w:sz w:val="24"/>
          <w:szCs w:val="24"/>
        </w:rPr>
        <w:t xml:space="preserve"> рублей. Для средних компаний, где работают до 250 человек, предельное значение дохода предусмотрено в пределах 2 млрд</w:t>
      </w:r>
      <w:r w:rsidR="00982F12" w:rsidRPr="00982F12">
        <w:rPr>
          <w:sz w:val="24"/>
          <w:szCs w:val="24"/>
        </w:rPr>
        <w:t>.</w:t>
      </w:r>
      <w:r w:rsidRPr="00982F12">
        <w:rPr>
          <w:sz w:val="24"/>
          <w:szCs w:val="24"/>
        </w:rPr>
        <w:t xml:space="preserve"> рублей.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>Реестр субъектов МСП формируется автоматически</w:t>
      </w:r>
      <w:r w:rsidR="003C086D">
        <w:rPr>
          <w:sz w:val="24"/>
          <w:szCs w:val="24"/>
        </w:rPr>
        <w:t>.</w:t>
      </w:r>
      <w:bookmarkStart w:id="0" w:name="_GoBack"/>
      <w:bookmarkEnd w:id="0"/>
      <w:r w:rsidRPr="00982F12">
        <w:rPr>
          <w:sz w:val="24"/>
          <w:szCs w:val="24"/>
        </w:rPr>
        <w:t xml:space="preserve"> Однако при необходимости после включения в Реестр предприниматель может самостоятельно внести дополнительную информацию, например, сообщить о своей продукции, опыте исполнения контрактов, а также об участии в программах партнерства.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Таким образом, с 1 августа 2016 года предпринимателям не нужно тратить деньги и время, чтобы подтвердить свой статус. Государственные и муниципальные органы, а также потенциальные партнеры смогут проверить эту информацию самостоятельно и бесплатно на </w:t>
      </w:r>
      <w:proofErr w:type="gramStart"/>
      <w:r w:rsidRPr="00982F12">
        <w:rPr>
          <w:sz w:val="24"/>
          <w:szCs w:val="24"/>
        </w:rPr>
        <w:t>интернет-портале</w:t>
      </w:r>
      <w:proofErr w:type="gramEnd"/>
      <w:r w:rsidRPr="00982F12">
        <w:rPr>
          <w:sz w:val="24"/>
          <w:szCs w:val="24"/>
        </w:rPr>
        <w:t xml:space="preserve"> Реестра субъектов МСП. В частности, реестр необходим для подтверждения прав малого и среднего бизнеса, в том числе на «надзорные» каникулы.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lastRenderedPageBreak/>
        <w:t xml:space="preserve">В реестре будет представлен ряд сведений о малом и среднем предпринимательстве, начиная с общих данных (наименование, ИНН, место нахождения и т.д.) и заканчивая сведениями о продукции, наличии в предшествующем календарном году заключенных договоров и контрактов.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Сведения будут вноситься в единый реестр ФНС России на основании: </w:t>
      </w:r>
    </w:p>
    <w:p w:rsidR="00BF56FE" w:rsidRPr="00982F12" w:rsidRDefault="00BF56FE" w:rsidP="00BF56FE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данных из ЕГРЮЛ и ЕГРИП; </w:t>
      </w:r>
    </w:p>
    <w:p w:rsidR="00BF56FE" w:rsidRPr="00982F12" w:rsidRDefault="00BF56FE" w:rsidP="00BF56FE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сведений о среднесписочной численности работников за предшествующий календарный год; </w:t>
      </w:r>
    </w:p>
    <w:p w:rsidR="00BF56FE" w:rsidRPr="00982F12" w:rsidRDefault="00BF56FE" w:rsidP="00BF56FE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сведений о доходе, полученном от осуществления предпринимательской деятельности за предшествующий календарный год, </w:t>
      </w:r>
    </w:p>
    <w:p w:rsidR="00BF56FE" w:rsidRPr="00982F12" w:rsidRDefault="00BF56FE" w:rsidP="00BF56FE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сведений, содержащихся в документах, связанных с применением специальных налоговых режимов в предшествующем календарном году; </w:t>
      </w:r>
    </w:p>
    <w:p w:rsidR="00BF56FE" w:rsidRPr="00982F12" w:rsidRDefault="00BF56FE" w:rsidP="00BF56FE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</w:rPr>
      </w:pPr>
      <w:r w:rsidRPr="00982F12">
        <w:rPr>
          <w:color w:val="000000"/>
        </w:rPr>
        <w:t>иных данных, представленных в уполномоченный орган</w:t>
      </w:r>
      <w:r w:rsidRPr="00982F12">
        <w:rPr>
          <w:rFonts w:ascii="Arial" w:hAnsi="Arial" w:cs="Arial"/>
          <w:color w:val="000000"/>
        </w:rPr>
        <w:t xml:space="preserve">. </w:t>
      </w:r>
    </w:p>
    <w:p w:rsidR="00982F12" w:rsidRPr="00982F12" w:rsidRDefault="00BF56FE" w:rsidP="00982F12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Реестр формируется автоматически, то есть без участия лиц, сведения о которых вносятся в Реестр. Государственные и муниципальные органы, а также потенциальные партнеры смогут проверить статус субъекта МСП самостоятельно и бесплатно на </w:t>
      </w:r>
      <w:proofErr w:type="gramStart"/>
      <w:r w:rsidRPr="00982F12">
        <w:rPr>
          <w:sz w:val="24"/>
          <w:szCs w:val="24"/>
        </w:rPr>
        <w:t>интернет-портале</w:t>
      </w:r>
      <w:proofErr w:type="gramEnd"/>
      <w:r w:rsidRPr="00982F12">
        <w:rPr>
          <w:sz w:val="24"/>
          <w:szCs w:val="24"/>
        </w:rPr>
        <w:t xml:space="preserve"> реестра субъектов МСП. Предусмотрено, что информация в реестре о новых организациях и предпринимателях будет обновляться ежемесячно. </w:t>
      </w:r>
    </w:p>
    <w:p w:rsidR="003C086D" w:rsidRDefault="00BF56FE" w:rsidP="003C086D">
      <w:pPr>
        <w:pStyle w:val="aa"/>
        <w:ind w:left="0" w:firstLine="708"/>
        <w:jc w:val="both"/>
        <w:rPr>
          <w:color w:val="000000"/>
          <w:sz w:val="24"/>
          <w:szCs w:val="24"/>
        </w:rPr>
      </w:pPr>
      <w:r w:rsidRPr="00982F12">
        <w:rPr>
          <w:color w:val="000000"/>
          <w:sz w:val="24"/>
          <w:szCs w:val="24"/>
        </w:rPr>
        <w:t xml:space="preserve">Получить же сведения из реестра можно будет несколькими способами: </w:t>
      </w:r>
    </w:p>
    <w:p w:rsidR="00BF56FE" w:rsidRPr="00982F12" w:rsidRDefault="00BF56FE" w:rsidP="003C086D">
      <w:pPr>
        <w:pStyle w:val="aa"/>
        <w:ind w:left="0" w:firstLine="708"/>
        <w:jc w:val="both"/>
        <w:rPr>
          <w:color w:val="000000"/>
        </w:rPr>
      </w:pPr>
      <w:r w:rsidRPr="00982F12">
        <w:rPr>
          <w:color w:val="000000"/>
        </w:rPr>
        <w:t xml:space="preserve">с помощью системы межведомственного электронного взаимодействия (СМЭВ для госорганов); </w:t>
      </w:r>
    </w:p>
    <w:p w:rsidR="00BF56FE" w:rsidRPr="00982F12" w:rsidRDefault="00BF56FE" w:rsidP="00BF56FE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при обращении к разделу «открытые данные» на сайте ФНС России; </w:t>
      </w:r>
    </w:p>
    <w:p w:rsidR="00BF56FE" w:rsidRPr="00982F12" w:rsidRDefault="00BF56FE" w:rsidP="00BF56FE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color w:val="000000"/>
        </w:rPr>
      </w:pPr>
      <w:r w:rsidRPr="00982F12">
        <w:rPr>
          <w:color w:val="000000"/>
        </w:rPr>
        <w:t xml:space="preserve">используя сервис поиска сведений о конкретном субъекте МСП на сайте ФНС России.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На сегодняшний день в рамках создания Реестра субъектов МСП на сайте ФНС России уже </w:t>
      </w:r>
      <w:hyperlink r:id="rId11" w:tgtFrame="_blank" w:history="1">
        <w:r w:rsidRPr="00982F12">
          <w:rPr>
            <w:sz w:val="24"/>
            <w:szCs w:val="24"/>
          </w:rPr>
          <w:t>размещена необходимая документация</w:t>
        </w:r>
      </w:hyperlink>
      <w:r w:rsidRPr="00982F12">
        <w:rPr>
          <w:sz w:val="24"/>
          <w:szCs w:val="24"/>
        </w:rPr>
        <w:t xml:space="preserve"> для доработки ведомственных информационных систем государственных органов при обращении к Реестру субъектов МСП посредством системы межведомственного электронного взаимодействия (СМЭВ). </w:t>
      </w:r>
    </w:p>
    <w:p w:rsidR="00BF56FE" w:rsidRPr="00982F12" w:rsidRDefault="00BF56FE" w:rsidP="00BF56FE">
      <w:pPr>
        <w:pStyle w:val="aa"/>
        <w:ind w:left="0" w:firstLine="708"/>
        <w:jc w:val="both"/>
        <w:rPr>
          <w:sz w:val="24"/>
          <w:szCs w:val="24"/>
        </w:rPr>
      </w:pPr>
      <w:r w:rsidRPr="00982F12">
        <w:rPr>
          <w:sz w:val="24"/>
          <w:szCs w:val="24"/>
        </w:rPr>
        <w:t xml:space="preserve">Кроме того, на сайте ФНС России </w:t>
      </w:r>
      <w:hyperlink r:id="rId12" w:tgtFrame="_blank" w:history="1">
        <w:r w:rsidRPr="00982F12">
          <w:rPr>
            <w:sz w:val="24"/>
            <w:szCs w:val="24"/>
          </w:rPr>
          <w:t>размещены форматы</w:t>
        </w:r>
      </w:hyperlink>
      <w:r w:rsidRPr="00982F12">
        <w:rPr>
          <w:sz w:val="24"/>
          <w:szCs w:val="24"/>
        </w:rPr>
        <w:t xml:space="preserve"> представления сведений из реестра субъектов МСП в электронной форме для доработки корпоративных информационных систем заинтересованных лиц при использовании открытых данных Реестра субъектов МСП. </w:t>
      </w:r>
    </w:p>
    <w:p w:rsidR="00BF56FE" w:rsidRPr="00982F12" w:rsidRDefault="00BF56FE" w:rsidP="00A509C4">
      <w:pPr>
        <w:spacing w:line="288" w:lineRule="auto"/>
        <w:ind w:firstLine="708"/>
        <w:jc w:val="both"/>
      </w:pPr>
    </w:p>
    <w:p w:rsidR="00225AED" w:rsidRPr="00982F12" w:rsidRDefault="00225AED" w:rsidP="00225AED">
      <w:pPr>
        <w:ind w:firstLine="720"/>
        <w:jc w:val="both"/>
        <w:rPr>
          <w:b/>
        </w:rPr>
      </w:pPr>
      <w:r w:rsidRPr="00982F12">
        <w:rPr>
          <w:b/>
        </w:rPr>
        <w:t>РЕШИЛИ:</w:t>
      </w:r>
    </w:p>
    <w:p w:rsidR="00225AED" w:rsidRPr="00982F12" w:rsidRDefault="00225AED" w:rsidP="00225AED">
      <w:pPr>
        <w:ind w:firstLine="720"/>
        <w:jc w:val="both"/>
      </w:pPr>
      <w:r w:rsidRPr="00982F12">
        <w:t xml:space="preserve">Принять к сведению выступление </w:t>
      </w:r>
      <w:r w:rsidR="00982F12" w:rsidRPr="00982F12">
        <w:t xml:space="preserve">начальника отдела регистрации и учета налогоплательщиков </w:t>
      </w:r>
      <w:r w:rsidR="00982F12" w:rsidRPr="00982F12">
        <w:rPr>
          <w:b/>
        </w:rPr>
        <w:t>Сухаревой С.Г.</w:t>
      </w:r>
    </w:p>
    <w:p w:rsidR="004B4CF3" w:rsidRPr="00982F12" w:rsidRDefault="004B4CF3" w:rsidP="00225AED">
      <w:pPr>
        <w:ind w:firstLine="720"/>
        <w:jc w:val="both"/>
      </w:pPr>
    </w:p>
    <w:p w:rsidR="004B4CF3" w:rsidRPr="00982F12" w:rsidRDefault="004B4CF3" w:rsidP="00225AED">
      <w:pPr>
        <w:ind w:firstLine="720"/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239"/>
        <w:gridCol w:w="2879"/>
        <w:gridCol w:w="239"/>
        <w:gridCol w:w="3118"/>
      </w:tblGrid>
      <w:tr w:rsidR="00225AED" w:rsidRPr="00982F12" w:rsidTr="004B4CF3">
        <w:trPr>
          <w:trHeight w:hRule="exact" w:val="340"/>
        </w:trPr>
        <w:tc>
          <w:tcPr>
            <w:tcW w:w="2988" w:type="dxa"/>
            <w:hideMark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Председательствующий</w:t>
            </w: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  <w:proofErr w:type="spellStart"/>
            <w:r w:rsidRPr="00982F12">
              <w:rPr>
                <w:lang w:eastAsia="en-US"/>
              </w:rPr>
              <w:t>С.М.Вдовин</w:t>
            </w:r>
            <w:proofErr w:type="spellEnd"/>
          </w:p>
        </w:tc>
      </w:tr>
      <w:tr w:rsidR="00225AED" w:rsidRPr="00982F12" w:rsidTr="004B4CF3">
        <w:trPr>
          <w:trHeight w:hRule="exact" w:val="227"/>
        </w:trPr>
        <w:tc>
          <w:tcPr>
            <w:tcW w:w="2988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C03F3E" w:rsidRPr="00982F12" w:rsidRDefault="00225AED" w:rsidP="002E6C1A">
      <w:pPr>
        <w:jc w:val="center"/>
      </w:pPr>
      <w:r w:rsidRPr="00982F12">
        <w:rPr>
          <w:b/>
          <w:lang w:val="en-US"/>
        </w:rPr>
        <w:t xml:space="preserve"> </w:t>
      </w:r>
    </w:p>
    <w:sectPr w:rsidR="00C03F3E" w:rsidRPr="009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FE1"/>
    <w:multiLevelType w:val="multilevel"/>
    <w:tmpl w:val="D26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33C43"/>
    <w:multiLevelType w:val="hybridMultilevel"/>
    <w:tmpl w:val="530C4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34341B"/>
    <w:multiLevelType w:val="multilevel"/>
    <w:tmpl w:val="50B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D"/>
    <w:rsid w:val="0004251A"/>
    <w:rsid w:val="00170549"/>
    <w:rsid w:val="001C3CE5"/>
    <w:rsid w:val="00225AED"/>
    <w:rsid w:val="002B14D1"/>
    <w:rsid w:val="002D7B9C"/>
    <w:rsid w:val="002E6C1A"/>
    <w:rsid w:val="003C086D"/>
    <w:rsid w:val="003E6D18"/>
    <w:rsid w:val="004437B1"/>
    <w:rsid w:val="004B4CF3"/>
    <w:rsid w:val="005B7EE5"/>
    <w:rsid w:val="00632EB8"/>
    <w:rsid w:val="006371FF"/>
    <w:rsid w:val="00674629"/>
    <w:rsid w:val="007F4A49"/>
    <w:rsid w:val="00827B32"/>
    <w:rsid w:val="008B116B"/>
    <w:rsid w:val="008F228E"/>
    <w:rsid w:val="00982F12"/>
    <w:rsid w:val="009E610D"/>
    <w:rsid w:val="00A22FD2"/>
    <w:rsid w:val="00A304CA"/>
    <w:rsid w:val="00A31937"/>
    <w:rsid w:val="00A509C4"/>
    <w:rsid w:val="00A531FB"/>
    <w:rsid w:val="00BF56FE"/>
    <w:rsid w:val="00C03F3E"/>
    <w:rsid w:val="00C80ECA"/>
    <w:rsid w:val="00C85098"/>
    <w:rsid w:val="00CE28CD"/>
    <w:rsid w:val="00D405E5"/>
    <w:rsid w:val="00DF20D8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8002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www.nalog.ru/html/sites/www.new.nalog.ru/docs/formats/formatrrmspsv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html/sites/www.new.nalog.ru/docs/formats/fns-rrmsp.zi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912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606230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4763-BC4E-466E-AD48-A38AD901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6</cp:revision>
  <dcterms:created xsi:type="dcterms:W3CDTF">2016-07-12T15:59:00Z</dcterms:created>
  <dcterms:modified xsi:type="dcterms:W3CDTF">2016-07-13T08:02:00Z</dcterms:modified>
</cp:coreProperties>
</file>