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Pr="003C22E9" w:rsidRDefault="00F245DA">
      <w:pPr>
        <w:pStyle w:val="aa"/>
        <w:jc w:val="center"/>
        <w:rPr>
          <w:b/>
          <w:color w:val="auto"/>
          <w:szCs w:val="24"/>
        </w:rPr>
      </w:pPr>
    </w:p>
    <w:p w:rsidR="00A85280" w:rsidRPr="003C22E9" w:rsidRDefault="003C22E9">
      <w:pPr>
        <w:pStyle w:val="aa"/>
        <w:jc w:val="center"/>
        <w:rPr>
          <w:b/>
          <w:color w:val="auto"/>
          <w:sz w:val="26"/>
          <w:szCs w:val="26"/>
        </w:rPr>
      </w:pPr>
      <w:r w:rsidRPr="003C22E9">
        <w:rPr>
          <w:b/>
          <w:color w:val="auto"/>
          <w:sz w:val="26"/>
          <w:szCs w:val="26"/>
        </w:rPr>
        <w:t>Сведения</w:t>
      </w:r>
    </w:p>
    <w:p w:rsidR="00A85280" w:rsidRPr="003C22E9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C22E9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C22E9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C22E9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C22E9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C22E9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C22E9" w:rsidRDefault="003A0500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C22E9">
        <w:rPr>
          <w:b/>
          <w:color w:val="auto"/>
          <w:sz w:val="26"/>
          <w:szCs w:val="26"/>
          <w:u w:val="single"/>
        </w:rPr>
        <w:t xml:space="preserve">в </w:t>
      </w:r>
      <w:r w:rsidRPr="003C22E9">
        <w:rPr>
          <w:b/>
          <w:color w:val="auto"/>
          <w:sz w:val="26"/>
          <w:szCs w:val="26"/>
          <w:u w:val="single"/>
          <w:lang w:val="en-US"/>
        </w:rPr>
        <w:t>I</w:t>
      </w:r>
      <w:r w:rsidRPr="003C22E9">
        <w:rPr>
          <w:b/>
          <w:color w:val="auto"/>
          <w:sz w:val="26"/>
          <w:szCs w:val="26"/>
          <w:u w:val="single"/>
        </w:rPr>
        <w:t xml:space="preserve"> квартале</w:t>
      </w:r>
      <w:r w:rsidR="005C2026" w:rsidRPr="003C22E9">
        <w:rPr>
          <w:b/>
          <w:color w:val="auto"/>
          <w:sz w:val="26"/>
          <w:szCs w:val="26"/>
          <w:u w:val="single"/>
        </w:rPr>
        <w:t xml:space="preserve"> </w:t>
      </w:r>
      <w:r w:rsidR="004C5145" w:rsidRPr="003C22E9">
        <w:rPr>
          <w:b/>
          <w:color w:val="auto"/>
          <w:sz w:val="26"/>
          <w:szCs w:val="26"/>
          <w:u w:val="single"/>
        </w:rPr>
        <w:t>202</w:t>
      </w:r>
      <w:r w:rsidR="006C5558" w:rsidRPr="003C22E9">
        <w:rPr>
          <w:b/>
          <w:color w:val="auto"/>
          <w:sz w:val="26"/>
          <w:szCs w:val="26"/>
          <w:u w:val="single"/>
        </w:rPr>
        <w:t>3</w:t>
      </w:r>
      <w:r w:rsidR="00905483" w:rsidRPr="003C22E9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Pr="003C22E9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892016" w:rsidRPr="003C22E9" w:rsidRDefault="003A0500" w:rsidP="00892016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В </w:t>
      </w:r>
      <w:r w:rsidRPr="003C22E9">
        <w:rPr>
          <w:b/>
          <w:color w:val="auto"/>
          <w:sz w:val="26"/>
          <w:szCs w:val="26"/>
          <w:lang w:val="en-US"/>
        </w:rPr>
        <w:t>I</w:t>
      </w:r>
      <w:r w:rsidRPr="003C22E9">
        <w:rPr>
          <w:b/>
          <w:color w:val="auto"/>
          <w:sz w:val="26"/>
          <w:szCs w:val="26"/>
        </w:rPr>
        <w:t xml:space="preserve"> квартале  </w:t>
      </w:r>
      <w:r w:rsidR="00892016" w:rsidRPr="003C22E9">
        <w:rPr>
          <w:color w:val="auto"/>
          <w:sz w:val="26"/>
          <w:szCs w:val="26"/>
        </w:rPr>
        <w:t xml:space="preserve">2023 года в Управление ФНС России по Республике Мордовия </w:t>
      </w:r>
      <w:r w:rsidRPr="003C22E9">
        <w:rPr>
          <w:color w:val="auto"/>
          <w:sz w:val="26"/>
          <w:szCs w:val="26"/>
        </w:rPr>
        <w:t>поступило 3572</w:t>
      </w:r>
      <w:r w:rsidR="00892016" w:rsidRPr="003C22E9">
        <w:rPr>
          <w:color w:val="auto"/>
          <w:sz w:val="26"/>
          <w:szCs w:val="26"/>
        </w:rPr>
        <w:t xml:space="preserve"> обращени</w:t>
      </w:r>
      <w:r w:rsidRPr="003C22E9">
        <w:rPr>
          <w:color w:val="auto"/>
          <w:sz w:val="26"/>
          <w:szCs w:val="26"/>
        </w:rPr>
        <w:t>я</w:t>
      </w:r>
      <w:r w:rsidR="00892016" w:rsidRPr="003C22E9">
        <w:rPr>
          <w:color w:val="auto"/>
          <w:sz w:val="26"/>
          <w:szCs w:val="26"/>
        </w:rPr>
        <w:t>. Из них:</w:t>
      </w:r>
    </w:p>
    <w:p w:rsidR="00892016" w:rsidRPr="003C22E9" w:rsidRDefault="00892016" w:rsidP="00892016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– в </w:t>
      </w:r>
      <w:r w:rsidR="003C22E9" w:rsidRPr="003C22E9">
        <w:rPr>
          <w:color w:val="auto"/>
          <w:sz w:val="26"/>
          <w:szCs w:val="26"/>
        </w:rPr>
        <w:t>базе данных</w:t>
      </w:r>
      <w:r w:rsidRPr="003C22E9">
        <w:rPr>
          <w:color w:val="auto"/>
          <w:sz w:val="26"/>
          <w:szCs w:val="26"/>
        </w:rPr>
        <w:t xml:space="preserve"> «Заявления граждан» зарегистрировано </w:t>
      </w:r>
      <w:r w:rsidR="003A0500" w:rsidRPr="003C22E9">
        <w:rPr>
          <w:color w:val="auto"/>
          <w:sz w:val="26"/>
          <w:szCs w:val="26"/>
        </w:rPr>
        <w:t>816</w:t>
      </w:r>
      <w:r w:rsidRPr="003C22E9">
        <w:rPr>
          <w:color w:val="auto"/>
          <w:sz w:val="26"/>
          <w:szCs w:val="26"/>
        </w:rPr>
        <w:t xml:space="preserve"> обращений граждан, что в 1,2 раза больше количес</w:t>
      </w:r>
      <w:bookmarkStart w:id="0" w:name="_GoBack"/>
      <w:bookmarkEnd w:id="0"/>
      <w:r w:rsidRPr="003C22E9">
        <w:rPr>
          <w:color w:val="auto"/>
          <w:sz w:val="26"/>
          <w:szCs w:val="26"/>
        </w:rPr>
        <w:t>тва обращений, поступивш</w:t>
      </w:r>
      <w:r w:rsidR="003A0500" w:rsidRPr="003C22E9">
        <w:rPr>
          <w:color w:val="auto"/>
          <w:sz w:val="26"/>
          <w:szCs w:val="26"/>
        </w:rPr>
        <w:t>их в предшествующем периоде (723</w:t>
      </w:r>
      <w:r w:rsidRPr="003C22E9">
        <w:rPr>
          <w:color w:val="auto"/>
          <w:sz w:val="26"/>
          <w:szCs w:val="26"/>
        </w:rPr>
        <w:t>).</w:t>
      </w:r>
    </w:p>
    <w:p w:rsidR="00892016" w:rsidRPr="003C22E9" w:rsidRDefault="00892016" w:rsidP="00892016">
      <w:pPr>
        <w:ind w:firstLine="709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– по омниканальной системе СООН поступило в </w:t>
      </w:r>
      <w:r w:rsidR="003A0500" w:rsidRPr="003C22E9">
        <w:rPr>
          <w:color w:val="auto"/>
          <w:sz w:val="26"/>
          <w:szCs w:val="26"/>
        </w:rPr>
        <w:t>целом – 2756 обращений</w:t>
      </w:r>
      <w:r w:rsidRPr="003C22E9">
        <w:rPr>
          <w:color w:val="auto"/>
          <w:sz w:val="26"/>
          <w:szCs w:val="26"/>
        </w:rPr>
        <w:t xml:space="preserve">, в том числе: обращения по жизненным ситуациям – </w:t>
      </w:r>
      <w:r w:rsidR="003A0500" w:rsidRPr="003C22E9">
        <w:rPr>
          <w:color w:val="auto"/>
          <w:sz w:val="26"/>
          <w:szCs w:val="26"/>
        </w:rPr>
        <w:t>1037</w:t>
      </w:r>
      <w:r w:rsidRPr="003C22E9">
        <w:rPr>
          <w:color w:val="auto"/>
          <w:sz w:val="26"/>
          <w:szCs w:val="26"/>
        </w:rPr>
        <w:t xml:space="preserve"> (3</w:t>
      </w:r>
      <w:r w:rsidR="003A0500" w:rsidRPr="003C22E9">
        <w:rPr>
          <w:color w:val="auto"/>
          <w:sz w:val="26"/>
          <w:szCs w:val="26"/>
        </w:rPr>
        <w:t>7</w:t>
      </w:r>
      <w:r w:rsidRPr="003C22E9">
        <w:rPr>
          <w:color w:val="auto"/>
          <w:sz w:val="26"/>
          <w:szCs w:val="26"/>
        </w:rPr>
        <w:t>,</w:t>
      </w:r>
      <w:r w:rsidR="003A0500" w:rsidRPr="003C22E9">
        <w:rPr>
          <w:color w:val="auto"/>
          <w:sz w:val="26"/>
          <w:szCs w:val="26"/>
        </w:rPr>
        <w:t>6</w:t>
      </w:r>
      <w:r w:rsidRPr="003C22E9">
        <w:rPr>
          <w:color w:val="auto"/>
          <w:sz w:val="26"/>
          <w:szCs w:val="26"/>
        </w:rPr>
        <w:t xml:space="preserve">%); и обращения  в свободной форме – </w:t>
      </w:r>
      <w:r w:rsidR="003A0500" w:rsidRPr="003C22E9">
        <w:rPr>
          <w:color w:val="auto"/>
          <w:sz w:val="26"/>
          <w:szCs w:val="26"/>
        </w:rPr>
        <w:t>1719</w:t>
      </w:r>
      <w:r w:rsidRPr="003C22E9">
        <w:rPr>
          <w:color w:val="auto"/>
          <w:sz w:val="26"/>
          <w:szCs w:val="26"/>
        </w:rPr>
        <w:t xml:space="preserve"> (6</w:t>
      </w:r>
      <w:r w:rsidR="003A0500" w:rsidRPr="003C22E9">
        <w:rPr>
          <w:color w:val="auto"/>
          <w:sz w:val="26"/>
          <w:szCs w:val="26"/>
        </w:rPr>
        <w:t>2,4</w:t>
      </w:r>
      <w:r w:rsidRPr="003C22E9">
        <w:rPr>
          <w:color w:val="auto"/>
          <w:sz w:val="26"/>
          <w:szCs w:val="26"/>
        </w:rPr>
        <w:t>%). И</w:t>
      </w:r>
      <w:r w:rsidR="003A0500" w:rsidRPr="003C22E9">
        <w:rPr>
          <w:color w:val="auto"/>
          <w:sz w:val="26"/>
          <w:szCs w:val="26"/>
        </w:rPr>
        <w:t>з них размещено на ССТУ.РФ – 1791 обращение</w:t>
      </w:r>
      <w:r w:rsidRPr="003C22E9">
        <w:rPr>
          <w:color w:val="auto"/>
          <w:sz w:val="26"/>
          <w:szCs w:val="26"/>
        </w:rPr>
        <w:t xml:space="preserve">. </w:t>
      </w:r>
    </w:p>
    <w:p w:rsidR="00892016" w:rsidRPr="003C22E9" w:rsidRDefault="003A0500" w:rsidP="00892016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По </w:t>
      </w:r>
      <w:r w:rsidR="003C22E9" w:rsidRPr="003C22E9">
        <w:rPr>
          <w:color w:val="auto"/>
          <w:sz w:val="26"/>
          <w:szCs w:val="26"/>
        </w:rPr>
        <w:t xml:space="preserve">базе данных «Заявления граждан» </w:t>
      </w:r>
      <w:r w:rsidR="00892016" w:rsidRPr="003C22E9">
        <w:rPr>
          <w:color w:val="auto"/>
          <w:sz w:val="26"/>
          <w:szCs w:val="26"/>
        </w:rPr>
        <w:t xml:space="preserve"> обращения поступили, в </w:t>
      </w:r>
      <w:r w:rsidR="003C22E9" w:rsidRPr="003C22E9">
        <w:rPr>
          <w:color w:val="auto"/>
          <w:sz w:val="26"/>
          <w:szCs w:val="26"/>
        </w:rPr>
        <w:t>том числе</w:t>
      </w:r>
      <w:r w:rsidR="00892016" w:rsidRPr="003C22E9">
        <w:rPr>
          <w:color w:val="auto"/>
          <w:sz w:val="26"/>
          <w:szCs w:val="26"/>
        </w:rPr>
        <w:t>:</w:t>
      </w:r>
    </w:p>
    <w:p w:rsidR="003A0500" w:rsidRPr="003C22E9" w:rsidRDefault="00F716C8" w:rsidP="00CA6A33">
      <w:pPr>
        <w:tabs>
          <w:tab w:val="left" w:pos="2802"/>
          <w:tab w:val="left" w:pos="3762"/>
        </w:tabs>
        <w:ind w:left="93"/>
        <w:rPr>
          <w:bCs/>
          <w:color w:val="auto"/>
          <w:sz w:val="14"/>
          <w:szCs w:val="14"/>
        </w:rPr>
      </w:pPr>
      <w:r w:rsidRPr="003C22E9">
        <w:rPr>
          <w:bCs/>
          <w:color w:val="auto"/>
          <w:sz w:val="14"/>
          <w:szCs w:val="14"/>
        </w:rPr>
        <w:t xml:space="preserve">          </w:t>
      </w:r>
    </w:p>
    <w:tbl>
      <w:tblPr>
        <w:tblW w:w="76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960"/>
        <w:gridCol w:w="960"/>
        <w:gridCol w:w="960"/>
        <w:gridCol w:w="960"/>
        <w:gridCol w:w="960"/>
      </w:tblGrid>
      <w:tr w:rsidR="003C22E9" w:rsidRPr="003C22E9" w:rsidTr="00071B8A">
        <w:trPr>
          <w:cantSplit/>
          <w:trHeight w:val="20"/>
        </w:trPr>
        <w:tc>
          <w:tcPr>
            <w:tcW w:w="2850" w:type="dxa"/>
            <w:shd w:val="clear" w:color="auto" w:fill="auto"/>
            <w:vAlign w:val="center"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C22E9">
              <w:rPr>
                <w:b/>
                <w:bCs/>
                <w:color w:val="auto"/>
                <w:sz w:val="16"/>
                <w:szCs w:val="16"/>
              </w:rPr>
              <w:t>январь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C22E9">
              <w:rPr>
                <w:b/>
                <w:bCs/>
                <w:color w:val="auto"/>
                <w:sz w:val="16"/>
                <w:szCs w:val="16"/>
              </w:rPr>
              <w:t>февраль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C22E9">
              <w:rPr>
                <w:b/>
                <w:bCs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3C22E9">
              <w:rPr>
                <w:b/>
                <w:bCs/>
                <w:color w:val="auto"/>
                <w:sz w:val="16"/>
                <w:szCs w:val="16"/>
              </w:rPr>
              <w:t>1 кв.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6"/>
                <w:szCs w:val="16"/>
              </w:rPr>
            </w:pPr>
            <w:r w:rsidRPr="003C22E9">
              <w:rPr>
                <w:color w:val="auto"/>
                <w:sz w:val="16"/>
                <w:szCs w:val="16"/>
              </w:rPr>
              <w:t xml:space="preserve">% </w:t>
            </w:r>
          </w:p>
          <w:p w:rsidR="003A0500" w:rsidRPr="003C22E9" w:rsidRDefault="003A0500" w:rsidP="003A0500">
            <w:pPr>
              <w:jc w:val="center"/>
              <w:rPr>
                <w:color w:val="auto"/>
                <w:sz w:val="16"/>
                <w:szCs w:val="16"/>
              </w:rPr>
            </w:pPr>
            <w:r w:rsidRPr="003C22E9">
              <w:rPr>
                <w:color w:val="auto"/>
                <w:sz w:val="16"/>
                <w:szCs w:val="16"/>
              </w:rPr>
              <w:t>1 кв.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3C22E9" w:rsidRPr="003C22E9">
              <w:rPr>
                <w:b/>
                <w:bCs/>
                <w:color w:val="auto"/>
                <w:sz w:val="18"/>
                <w:szCs w:val="18"/>
              </w:rPr>
              <w:t>через Интернет-сайт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4,2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 ЛК</w:t>
            </w:r>
            <w:r w:rsidR="003C22E9" w:rsidRPr="003C22E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3C22E9">
              <w:rPr>
                <w:b/>
                <w:bCs/>
                <w:color w:val="auto"/>
                <w:sz w:val="18"/>
                <w:szCs w:val="18"/>
              </w:rPr>
              <w:t>ЮЛ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62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84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26,8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 ЛК</w:t>
            </w:r>
            <w:r w:rsidR="003C22E9" w:rsidRPr="003C22E9">
              <w:rPr>
                <w:b/>
                <w:bCs/>
                <w:color w:val="auto"/>
                <w:sz w:val="18"/>
                <w:szCs w:val="18"/>
              </w:rPr>
              <w:t xml:space="preserve"> ФЛ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2,5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 ЛК</w:t>
            </w:r>
            <w:r w:rsidR="003C22E9" w:rsidRPr="003C22E9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3C22E9">
              <w:rPr>
                <w:b/>
                <w:bCs/>
                <w:color w:val="auto"/>
                <w:sz w:val="18"/>
                <w:szCs w:val="18"/>
              </w:rPr>
              <w:t>ИП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415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50,9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GOSUSLUGI.RU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0,4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ФНС России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2,5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МИ ЦОД   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0,6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C22E9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через другой </w:t>
            </w:r>
            <w:r w:rsidR="003C22E9" w:rsidRPr="003C22E9">
              <w:rPr>
                <w:b/>
                <w:bCs/>
                <w:color w:val="auto"/>
                <w:sz w:val="18"/>
                <w:szCs w:val="18"/>
              </w:rPr>
              <w:t>территориальный налоговый орган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4,7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от  третьего лица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19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5,3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Аппарат Президента РФ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0,0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 лично (почтой), на бумаге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2,3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ИТОГО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264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248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304</w:t>
            </w:r>
          </w:p>
        </w:tc>
        <w:tc>
          <w:tcPr>
            <w:tcW w:w="960" w:type="dxa"/>
            <w:shd w:val="clear" w:color="000000" w:fill="EBF1DE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816</w:t>
            </w:r>
          </w:p>
        </w:tc>
        <w:tc>
          <w:tcPr>
            <w:tcW w:w="960" w:type="dxa"/>
            <w:shd w:val="clear" w:color="000000" w:fill="EBF1DE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100,0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 xml:space="preserve">– Жизненные ситуации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3C22E9">
              <w:rPr>
                <w:bCs/>
                <w:color w:val="auto"/>
                <w:sz w:val="18"/>
                <w:szCs w:val="18"/>
              </w:rPr>
              <w:t>366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3C22E9">
              <w:rPr>
                <w:bCs/>
                <w:color w:val="auto"/>
                <w:sz w:val="18"/>
                <w:szCs w:val="18"/>
              </w:rPr>
              <w:t>325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Cs/>
                <w:color w:val="auto"/>
                <w:sz w:val="18"/>
                <w:szCs w:val="18"/>
              </w:rPr>
            </w:pPr>
            <w:r w:rsidRPr="003C22E9">
              <w:rPr>
                <w:bCs/>
                <w:color w:val="auto"/>
                <w:sz w:val="18"/>
                <w:szCs w:val="18"/>
              </w:rPr>
              <w:t>346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1037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37,6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– в свободной форме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582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506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631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1719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62,4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right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СООН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948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831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977</w:t>
            </w:r>
          </w:p>
        </w:tc>
        <w:tc>
          <w:tcPr>
            <w:tcW w:w="960" w:type="dxa"/>
            <w:shd w:val="clear" w:color="000000" w:fill="EAF1DD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2756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100,0</w:t>
            </w:r>
          </w:p>
        </w:tc>
      </w:tr>
      <w:tr w:rsidR="003C22E9" w:rsidRPr="003C22E9" w:rsidTr="00071B8A">
        <w:trPr>
          <w:trHeight w:val="20"/>
        </w:trPr>
        <w:tc>
          <w:tcPr>
            <w:tcW w:w="2850" w:type="dxa"/>
            <w:shd w:val="clear" w:color="000000" w:fill="DAEEF3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60" w:type="dxa"/>
            <w:shd w:val="clear" w:color="000000" w:fill="DAEEF3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1212</w:t>
            </w:r>
          </w:p>
        </w:tc>
        <w:tc>
          <w:tcPr>
            <w:tcW w:w="960" w:type="dxa"/>
            <w:shd w:val="clear" w:color="000000" w:fill="DAEEF3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1079</w:t>
            </w:r>
          </w:p>
        </w:tc>
        <w:tc>
          <w:tcPr>
            <w:tcW w:w="960" w:type="dxa"/>
            <w:shd w:val="clear" w:color="000000" w:fill="DAEEF3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1281</w:t>
            </w:r>
          </w:p>
        </w:tc>
        <w:tc>
          <w:tcPr>
            <w:tcW w:w="960" w:type="dxa"/>
            <w:shd w:val="clear" w:color="000000" w:fill="EBF1DE"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3572</w:t>
            </w:r>
          </w:p>
        </w:tc>
        <w:tc>
          <w:tcPr>
            <w:tcW w:w="960" w:type="dxa"/>
            <w:shd w:val="clear" w:color="000000" w:fill="EBF1DE"/>
            <w:noWrap/>
            <w:vAlign w:val="center"/>
            <w:hideMark/>
          </w:tcPr>
          <w:p w:rsidR="003A0500" w:rsidRPr="003C22E9" w:rsidRDefault="003A0500" w:rsidP="003A0500">
            <w:pPr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3C22E9">
              <w:rPr>
                <w:rFonts w:ascii="Calibri" w:hAnsi="Calibri"/>
                <w:color w:val="auto"/>
                <w:sz w:val="18"/>
                <w:szCs w:val="18"/>
              </w:rPr>
              <w:t> </w:t>
            </w:r>
          </w:p>
        </w:tc>
      </w:tr>
    </w:tbl>
    <w:p w:rsidR="00251A1E" w:rsidRPr="003C22E9" w:rsidRDefault="00F716C8" w:rsidP="00CA6A33">
      <w:pPr>
        <w:tabs>
          <w:tab w:val="left" w:pos="2802"/>
          <w:tab w:val="left" w:pos="3762"/>
        </w:tabs>
        <w:ind w:left="93"/>
        <w:rPr>
          <w:color w:val="auto"/>
          <w:sz w:val="26"/>
          <w:szCs w:val="26"/>
        </w:rPr>
      </w:pPr>
      <w:r w:rsidRPr="003C22E9">
        <w:rPr>
          <w:bCs/>
          <w:color w:val="auto"/>
          <w:sz w:val="14"/>
          <w:szCs w:val="14"/>
        </w:rPr>
        <w:t xml:space="preserve">    </w:t>
      </w:r>
      <w:r w:rsidR="000324A6" w:rsidRPr="003C22E9">
        <w:rPr>
          <w:color w:val="auto"/>
          <w:sz w:val="26"/>
          <w:szCs w:val="26"/>
        </w:rPr>
        <w:t>Тематика зад</w:t>
      </w:r>
      <w:r w:rsidR="00634671" w:rsidRPr="003C22E9">
        <w:rPr>
          <w:color w:val="auto"/>
          <w:sz w:val="26"/>
          <w:szCs w:val="26"/>
        </w:rPr>
        <w:t xml:space="preserve">аваемых вопросов в процентном </w:t>
      </w:r>
      <w:r w:rsidR="000324A6" w:rsidRPr="003C22E9">
        <w:rPr>
          <w:color w:val="auto"/>
          <w:sz w:val="26"/>
          <w:szCs w:val="26"/>
        </w:rPr>
        <w:t>отношении от общего количества зарегистрированных обращений в Управлении, составляет: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866"/>
        <w:gridCol w:w="866"/>
        <w:gridCol w:w="8348"/>
      </w:tblGrid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161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(19,7%)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Налоговая отчетность;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145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(17,8%)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Учет налогоплательщиков. Получение и отказ от ИНН;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–110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(13,5%)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Доступ к персонифицированной информации о состоянии расчета с бюджетом;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62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(7,6%)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Налогообложение малого бизнеса, специальных налоговых режимов;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57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(7,0%)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51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(6,3%)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41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(5,0%)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Оказание услуг в электронной форме. Пользование информационными ресурсами;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33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(4,0%)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Организация работы с налогоплательщиками;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18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(2,2%)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Исчисление и уплата страховых взносов в бюджеты государственных внебюджетных фондов;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17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(2,1%)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Надзор в области организации и проведения азартных игр и лотерей;</w:t>
            </w:r>
          </w:p>
        </w:tc>
      </w:tr>
      <w:tr w:rsidR="003C22E9" w:rsidRPr="003C22E9" w:rsidTr="00071B8A">
        <w:trPr>
          <w:cantSplit/>
          <w:trHeight w:val="20"/>
        </w:trPr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b/>
                <w:color w:val="auto"/>
                <w:sz w:val="18"/>
                <w:szCs w:val="18"/>
              </w:rPr>
            </w:pPr>
            <w:r w:rsidRPr="003C22E9">
              <w:rPr>
                <w:b/>
                <w:noProof/>
                <w:color w:val="auto"/>
                <w:sz w:val="18"/>
                <w:szCs w:val="18"/>
              </w:rPr>
              <w:t>– по 15</w:t>
            </w:r>
          </w:p>
        </w:tc>
        <w:tc>
          <w:tcPr>
            <w:tcW w:w="866" w:type="dxa"/>
            <w:vAlign w:val="center"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(1,8%)</w:t>
            </w:r>
          </w:p>
        </w:tc>
        <w:tc>
          <w:tcPr>
            <w:tcW w:w="8348" w:type="dxa"/>
            <w:shd w:val="clear" w:color="auto" w:fill="auto"/>
            <w:vAlign w:val="center"/>
            <w:hideMark/>
          </w:tcPr>
          <w:p w:rsidR="00C41208" w:rsidRPr="003C22E9" w:rsidRDefault="00C41208" w:rsidP="00EE652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noProof/>
                <w:color w:val="auto"/>
                <w:sz w:val="18"/>
                <w:szCs w:val="18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; и Налог на имущество.</w:t>
            </w:r>
          </w:p>
        </w:tc>
      </w:tr>
    </w:tbl>
    <w:p w:rsidR="007770B3" w:rsidRPr="003C22E9" w:rsidRDefault="005C2026" w:rsidP="004117E6">
      <w:pPr>
        <w:ind w:left="-34" w:firstLine="742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>По остальным категориям проце</w:t>
      </w:r>
      <w:r w:rsidR="00EC3590" w:rsidRPr="003C22E9">
        <w:rPr>
          <w:color w:val="auto"/>
          <w:sz w:val="26"/>
          <w:szCs w:val="26"/>
        </w:rPr>
        <w:t>нтн</w:t>
      </w:r>
      <w:r w:rsidR="00C41208" w:rsidRPr="003C22E9">
        <w:rPr>
          <w:color w:val="auto"/>
          <w:sz w:val="26"/>
          <w:szCs w:val="26"/>
        </w:rPr>
        <w:t>ое соотношение составляет от 0,1</w:t>
      </w:r>
      <w:r w:rsidRPr="003C22E9">
        <w:rPr>
          <w:color w:val="auto"/>
          <w:sz w:val="26"/>
          <w:szCs w:val="26"/>
        </w:rPr>
        <w:t xml:space="preserve">% (1) </w:t>
      </w:r>
      <w:r w:rsidR="00C41208" w:rsidRPr="003C22E9">
        <w:rPr>
          <w:color w:val="auto"/>
          <w:sz w:val="26"/>
          <w:szCs w:val="26"/>
        </w:rPr>
        <w:t>до 1,7% (14</w:t>
      </w:r>
      <w:r w:rsidR="00EC3590" w:rsidRPr="003C22E9">
        <w:rPr>
          <w:color w:val="auto"/>
          <w:sz w:val="26"/>
          <w:szCs w:val="26"/>
        </w:rPr>
        <w:t xml:space="preserve">) </w:t>
      </w:r>
      <w:r w:rsidRPr="003C22E9">
        <w:rPr>
          <w:color w:val="auto"/>
          <w:sz w:val="26"/>
          <w:szCs w:val="26"/>
        </w:rPr>
        <w:t xml:space="preserve">от общего  количества поступивших  </w:t>
      </w:r>
      <w:r w:rsidR="004117E6" w:rsidRPr="003C22E9">
        <w:rPr>
          <w:color w:val="auto"/>
          <w:sz w:val="26"/>
          <w:szCs w:val="26"/>
        </w:rPr>
        <w:t>о</w:t>
      </w:r>
      <w:r w:rsidRPr="003C22E9">
        <w:rPr>
          <w:color w:val="auto"/>
          <w:sz w:val="26"/>
          <w:szCs w:val="26"/>
        </w:rPr>
        <w:t>бращ</w:t>
      </w:r>
      <w:r w:rsidR="0010136E" w:rsidRPr="003C22E9">
        <w:rPr>
          <w:color w:val="auto"/>
          <w:sz w:val="26"/>
          <w:szCs w:val="26"/>
        </w:rPr>
        <w:t>ений, соответственно.</w:t>
      </w:r>
    </w:p>
    <w:p w:rsidR="00142468" w:rsidRPr="003C22E9" w:rsidRDefault="00D95086" w:rsidP="006B5E37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В анализируемом периоде срок наложен на все поступившие обращения. Категория </w:t>
      </w:r>
      <w:r w:rsidR="003C22E9" w:rsidRPr="003C22E9">
        <w:rPr>
          <w:color w:val="auto"/>
          <w:sz w:val="26"/>
          <w:szCs w:val="26"/>
        </w:rPr>
        <w:t>«</w:t>
      </w:r>
      <w:r w:rsidRPr="003C22E9">
        <w:rPr>
          <w:color w:val="auto"/>
          <w:sz w:val="26"/>
          <w:szCs w:val="26"/>
        </w:rPr>
        <w:t>Особая важность</w:t>
      </w:r>
      <w:r w:rsidR="003C22E9" w:rsidRPr="003C22E9">
        <w:rPr>
          <w:color w:val="auto"/>
          <w:sz w:val="26"/>
          <w:szCs w:val="26"/>
        </w:rPr>
        <w:t>»</w:t>
      </w:r>
      <w:r w:rsidR="004117E6" w:rsidRPr="003C22E9">
        <w:rPr>
          <w:color w:val="auto"/>
          <w:sz w:val="26"/>
          <w:szCs w:val="26"/>
        </w:rPr>
        <w:t xml:space="preserve"> </w:t>
      </w:r>
      <w:r w:rsidRPr="003C22E9">
        <w:rPr>
          <w:color w:val="auto"/>
          <w:sz w:val="26"/>
          <w:szCs w:val="26"/>
        </w:rPr>
        <w:t>присв</w:t>
      </w:r>
      <w:r w:rsidR="003A2400" w:rsidRPr="003C22E9">
        <w:rPr>
          <w:color w:val="auto"/>
          <w:sz w:val="26"/>
          <w:szCs w:val="26"/>
        </w:rPr>
        <w:t>оена одному обращению</w:t>
      </w:r>
      <w:r w:rsidR="004117E6" w:rsidRPr="003C22E9">
        <w:rPr>
          <w:color w:val="auto"/>
          <w:sz w:val="26"/>
          <w:szCs w:val="26"/>
        </w:rPr>
        <w:t>.</w:t>
      </w:r>
      <w:r w:rsidR="006C6FFD" w:rsidRPr="003C22E9">
        <w:rPr>
          <w:color w:val="auto"/>
          <w:sz w:val="26"/>
          <w:szCs w:val="26"/>
        </w:rPr>
        <w:t xml:space="preserve"> </w:t>
      </w:r>
      <w:r w:rsidR="003A2400" w:rsidRPr="003C22E9">
        <w:rPr>
          <w:color w:val="auto"/>
          <w:sz w:val="26"/>
          <w:szCs w:val="26"/>
        </w:rPr>
        <w:t>Поступило 8</w:t>
      </w:r>
      <w:r w:rsidR="002E7205" w:rsidRPr="003C22E9">
        <w:rPr>
          <w:color w:val="auto"/>
          <w:sz w:val="26"/>
          <w:szCs w:val="26"/>
        </w:rPr>
        <w:t xml:space="preserve"> </w:t>
      </w:r>
      <w:r w:rsidR="00464102" w:rsidRPr="003C22E9">
        <w:rPr>
          <w:color w:val="auto"/>
          <w:sz w:val="26"/>
          <w:szCs w:val="26"/>
        </w:rPr>
        <w:t>п</w:t>
      </w:r>
      <w:r w:rsidR="004B2020" w:rsidRPr="003C22E9">
        <w:rPr>
          <w:color w:val="auto"/>
          <w:sz w:val="26"/>
          <w:szCs w:val="26"/>
        </w:rPr>
        <w:t>ов</w:t>
      </w:r>
      <w:r w:rsidRPr="003C22E9">
        <w:rPr>
          <w:color w:val="auto"/>
          <w:sz w:val="26"/>
          <w:szCs w:val="26"/>
        </w:rPr>
        <w:t>торн</w:t>
      </w:r>
      <w:r w:rsidR="004117E6" w:rsidRPr="003C22E9">
        <w:rPr>
          <w:color w:val="auto"/>
          <w:sz w:val="26"/>
          <w:szCs w:val="26"/>
        </w:rPr>
        <w:t>ых</w:t>
      </w:r>
      <w:r w:rsidRPr="003C22E9">
        <w:rPr>
          <w:color w:val="auto"/>
          <w:sz w:val="26"/>
          <w:szCs w:val="26"/>
        </w:rPr>
        <w:t xml:space="preserve"> обращени</w:t>
      </w:r>
      <w:r w:rsidR="003A2400" w:rsidRPr="003C22E9">
        <w:rPr>
          <w:color w:val="auto"/>
          <w:sz w:val="26"/>
          <w:szCs w:val="26"/>
        </w:rPr>
        <w:t>й</w:t>
      </w:r>
      <w:r w:rsidRPr="003C22E9">
        <w:rPr>
          <w:color w:val="auto"/>
          <w:sz w:val="26"/>
          <w:szCs w:val="26"/>
        </w:rPr>
        <w:t>.</w:t>
      </w:r>
      <w:r w:rsidR="00D931BA" w:rsidRPr="003C22E9">
        <w:rPr>
          <w:color w:val="auto"/>
          <w:sz w:val="26"/>
          <w:szCs w:val="26"/>
        </w:rPr>
        <w:t xml:space="preserve"> </w:t>
      </w:r>
      <w:r w:rsidRPr="003C22E9">
        <w:rPr>
          <w:color w:val="auto"/>
          <w:sz w:val="26"/>
          <w:szCs w:val="26"/>
        </w:rPr>
        <w:t xml:space="preserve">Обращения </w:t>
      </w:r>
      <w:r w:rsidR="00464102" w:rsidRPr="003C22E9">
        <w:rPr>
          <w:color w:val="auto"/>
          <w:sz w:val="26"/>
          <w:szCs w:val="26"/>
        </w:rPr>
        <w:t xml:space="preserve">заявителями </w:t>
      </w:r>
      <w:r w:rsidRPr="003C22E9">
        <w:rPr>
          <w:color w:val="auto"/>
          <w:sz w:val="26"/>
          <w:szCs w:val="26"/>
        </w:rPr>
        <w:t xml:space="preserve">не отзывались. Срок исполнения не продлевался. </w:t>
      </w:r>
      <w:r w:rsidR="004B2020" w:rsidRPr="003C22E9">
        <w:rPr>
          <w:color w:val="auto"/>
          <w:sz w:val="26"/>
          <w:szCs w:val="26"/>
        </w:rPr>
        <w:t>Поступило и</w:t>
      </w:r>
      <w:r w:rsidRPr="003C22E9">
        <w:rPr>
          <w:color w:val="auto"/>
          <w:sz w:val="26"/>
          <w:szCs w:val="26"/>
        </w:rPr>
        <w:t xml:space="preserve">з других </w:t>
      </w:r>
      <w:r w:rsidR="003C22E9" w:rsidRPr="003C22E9">
        <w:rPr>
          <w:color w:val="auto"/>
          <w:sz w:val="26"/>
          <w:szCs w:val="26"/>
        </w:rPr>
        <w:t>территориальных налоговых органов</w:t>
      </w:r>
      <w:r w:rsidRPr="003C22E9">
        <w:rPr>
          <w:color w:val="auto"/>
          <w:sz w:val="26"/>
          <w:szCs w:val="26"/>
        </w:rPr>
        <w:t xml:space="preserve"> (в </w:t>
      </w:r>
      <w:r w:rsidR="003C22E9" w:rsidRPr="003C22E9">
        <w:rPr>
          <w:color w:val="auto"/>
          <w:sz w:val="26"/>
          <w:szCs w:val="26"/>
        </w:rPr>
        <w:t>том числе</w:t>
      </w:r>
      <w:r w:rsidRPr="003C22E9">
        <w:rPr>
          <w:color w:val="auto"/>
          <w:sz w:val="26"/>
          <w:szCs w:val="26"/>
        </w:rPr>
        <w:t xml:space="preserve"> из ФНС России) </w:t>
      </w:r>
      <w:r w:rsidR="003A2400" w:rsidRPr="003C22E9">
        <w:rPr>
          <w:color w:val="auto"/>
          <w:sz w:val="26"/>
          <w:szCs w:val="26"/>
        </w:rPr>
        <w:t>63</w:t>
      </w:r>
      <w:r w:rsidR="00464102" w:rsidRPr="003C22E9">
        <w:rPr>
          <w:color w:val="auto"/>
          <w:sz w:val="26"/>
          <w:szCs w:val="26"/>
        </w:rPr>
        <w:t xml:space="preserve"> обращени</w:t>
      </w:r>
      <w:r w:rsidR="003C22E9" w:rsidRPr="003C22E9">
        <w:rPr>
          <w:color w:val="auto"/>
          <w:sz w:val="26"/>
          <w:szCs w:val="26"/>
        </w:rPr>
        <w:t>я</w:t>
      </w:r>
      <w:r w:rsidRPr="003C22E9">
        <w:rPr>
          <w:color w:val="auto"/>
          <w:sz w:val="26"/>
          <w:szCs w:val="26"/>
        </w:rPr>
        <w:t xml:space="preserve">. </w:t>
      </w:r>
      <w:r w:rsidR="004B2020" w:rsidRPr="003C22E9">
        <w:rPr>
          <w:color w:val="auto"/>
          <w:sz w:val="26"/>
          <w:szCs w:val="26"/>
        </w:rPr>
        <w:t>Размещено на портале ССТУ</w:t>
      </w:r>
      <w:proofErr w:type="gramStart"/>
      <w:r w:rsidR="004B2020" w:rsidRPr="003C22E9">
        <w:rPr>
          <w:color w:val="auto"/>
          <w:sz w:val="26"/>
          <w:szCs w:val="26"/>
        </w:rPr>
        <w:t>.Р</w:t>
      </w:r>
      <w:proofErr w:type="gramEnd"/>
      <w:r w:rsidR="004B2020" w:rsidRPr="003C22E9">
        <w:rPr>
          <w:color w:val="auto"/>
          <w:sz w:val="26"/>
          <w:szCs w:val="26"/>
        </w:rPr>
        <w:t xml:space="preserve">Ф </w:t>
      </w:r>
      <w:r w:rsidR="003A2400" w:rsidRPr="003C22E9">
        <w:rPr>
          <w:color w:val="auto"/>
          <w:sz w:val="26"/>
          <w:szCs w:val="26"/>
        </w:rPr>
        <w:t>10</w:t>
      </w:r>
      <w:r w:rsidR="006C6FFD" w:rsidRPr="003C22E9">
        <w:rPr>
          <w:color w:val="auto"/>
          <w:sz w:val="26"/>
          <w:szCs w:val="26"/>
        </w:rPr>
        <w:t xml:space="preserve"> </w:t>
      </w:r>
      <w:r w:rsidR="00464102" w:rsidRPr="003C22E9">
        <w:rPr>
          <w:color w:val="auto"/>
          <w:sz w:val="26"/>
          <w:szCs w:val="26"/>
        </w:rPr>
        <w:t>обращени</w:t>
      </w:r>
      <w:r w:rsidR="00251A1E" w:rsidRPr="003C22E9">
        <w:rPr>
          <w:color w:val="auto"/>
          <w:sz w:val="26"/>
          <w:szCs w:val="26"/>
        </w:rPr>
        <w:t>й</w:t>
      </w:r>
      <w:r w:rsidR="00170FAD" w:rsidRPr="003C22E9">
        <w:rPr>
          <w:color w:val="auto"/>
          <w:sz w:val="26"/>
          <w:szCs w:val="26"/>
        </w:rPr>
        <w:t>.</w:t>
      </w:r>
      <w:r w:rsidR="00024160" w:rsidRPr="003C22E9">
        <w:rPr>
          <w:color w:val="auto"/>
          <w:sz w:val="26"/>
          <w:szCs w:val="26"/>
        </w:rPr>
        <w:t xml:space="preserve"> </w:t>
      </w:r>
      <w:r w:rsidR="006C6FFD" w:rsidRPr="003C22E9">
        <w:rPr>
          <w:color w:val="auto"/>
          <w:sz w:val="26"/>
          <w:szCs w:val="26"/>
        </w:rPr>
        <w:t>Перенаправлено в</w:t>
      </w:r>
      <w:r w:rsidR="00251A1E" w:rsidRPr="003C22E9">
        <w:rPr>
          <w:color w:val="auto"/>
          <w:sz w:val="26"/>
          <w:szCs w:val="26"/>
        </w:rPr>
        <w:t xml:space="preserve"> иной </w:t>
      </w:r>
      <w:r w:rsidR="003C22E9" w:rsidRPr="003C22E9">
        <w:rPr>
          <w:color w:val="auto"/>
          <w:sz w:val="26"/>
          <w:szCs w:val="26"/>
        </w:rPr>
        <w:t>территориальный налоговый</w:t>
      </w:r>
      <w:r w:rsidR="003C22E9" w:rsidRPr="003C22E9">
        <w:rPr>
          <w:color w:val="auto"/>
          <w:sz w:val="26"/>
          <w:szCs w:val="26"/>
        </w:rPr>
        <w:tab/>
        <w:t xml:space="preserve"> орган</w:t>
      </w:r>
      <w:r w:rsidR="00251A1E" w:rsidRPr="003C22E9">
        <w:rPr>
          <w:color w:val="auto"/>
          <w:sz w:val="26"/>
          <w:szCs w:val="26"/>
        </w:rPr>
        <w:t xml:space="preserve"> </w:t>
      </w:r>
      <w:r w:rsidR="003A2400" w:rsidRPr="003C22E9">
        <w:rPr>
          <w:color w:val="auto"/>
          <w:sz w:val="26"/>
          <w:szCs w:val="26"/>
        </w:rPr>
        <w:t>11</w:t>
      </w:r>
      <w:r w:rsidR="00024160" w:rsidRPr="003C22E9">
        <w:rPr>
          <w:color w:val="auto"/>
          <w:sz w:val="26"/>
          <w:szCs w:val="26"/>
        </w:rPr>
        <w:t xml:space="preserve"> обращений</w:t>
      </w:r>
      <w:r w:rsidR="004B2020" w:rsidRPr="003C22E9">
        <w:rPr>
          <w:color w:val="auto"/>
          <w:sz w:val="26"/>
          <w:szCs w:val="26"/>
        </w:rPr>
        <w:t>.</w:t>
      </w:r>
      <w:r w:rsidR="00170FAD" w:rsidRPr="003C22E9">
        <w:rPr>
          <w:color w:val="auto"/>
          <w:sz w:val="26"/>
          <w:szCs w:val="26"/>
        </w:rPr>
        <w:t xml:space="preserve"> </w:t>
      </w:r>
      <w:r w:rsidR="002E7205" w:rsidRPr="003C22E9">
        <w:rPr>
          <w:color w:val="auto"/>
          <w:sz w:val="26"/>
          <w:szCs w:val="26"/>
        </w:rPr>
        <w:t>В другие ведомства</w:t>
      </w:r>
      <w:r w:rsidRPr="003C22E9">
        <w:rPr>
          <w:color w:val="auto"/>
          <w:sz w:val="26"/>
          <w:szCs w:val="26"/>
        </w:rPr>
        <w:t xml:space="preserve"> для </w:t>
      </w:r>
      <w:r w:rsidRPr="003C22E9">
        <w:rPr>
          <w:color w:val="auto"/>
          <w:sz w:val="26"/>
          <w:szCs w:val="26"/>
        </w:rPr>
        <w:lastRenderedPageBreak/>
        <w:t>рассмотрения по компетенции обращения не перенаправлялись.</w:t>
      </w:r>
      <w:r w:rsidR="00170FAD" w:rsidRPr="003C22E9">
        <w:rPr>
          <w:color w:val="auto"/>
          <w:sz w:val="26"/>
          <w:szCs w:val="26"/>
        </w:rPr>
        <w:t xml:space="preserve"> </w:t>
      </w:r>
      <w:r w:rsidRPr="003C22E9">
        <w:rPr>
          <w:color w:val="auto"/>
          <w:sz w:val="26"/>
          <w:szCs w:val="26"/>
        </w:rPr>
        <w:t>Обращения-запросы пользователей информации в соответствии с законом от 09.02.2009 №8-ФЗ в УФНС по РМ в анализируемом периоде не поступали.</w:t>
      </w:r>
    </w:p>
    <w:p w:rsidR="00BA314F" w:rsidRPr="003C22E9" w:rsidRDefault="00500CFA" w:rsidP="006B5E37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По территориальной принадлежности заявители, направившие обращения в отчетном периоде, проживают в следующих </w:t>
      </w:r>
      <w:r w:rsidR="002C646D" w:rsidRPr="003C22E9">
        <w:rPr>
          <w:color w:val="auto"/>
          <w:sz w:val="26"/>
          <w:szCs w:val="26"/>
        </w:rPr>
        <w:t>регионах</w:t>
      </w:r>
      <w:r w:rsidRPr="003C22E9">
        <w:rPr>
          <w:color w:val="auto"/>
          <w:sz w:val="26"/>
          <w:szCs w:val="26"/>
        </w:rPr>
        <w:t xml:space="preserve"> Российской Федерации:</w:t>
      </w:r>
    </w:p>
    <w:p w:rsidR="001209FD" w:rsidRPr="003C22E9" w:rsidRDefault="001209FD" w:rsidP="00542913">
      <w:pPr>
        <w:rPr>
          <w:color w:val="auto"/>
          <w:sz w:val="19"/>
          <w:szCs w:val="19"/>
        </w:rPr>
        <w:sectPr w:rsidR="001209FD" w:rsidRPr="003C22E9" w:rsidSect="00495B04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W w:w="42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960"/>
        <w:gridCol w:w="741"/>
      </w:tblGrid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lastRenderedPageBreak/>
              <w:t>Республика Мордовия\ по районам РМ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49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6,0%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 xml:space="preserve"> Республика Мордовия\ГО Саранск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2,2%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Чувашская Республика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Астраханская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0,2%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Московская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0,2%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Мурманская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0,4%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Нижегородская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Пензенская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Ростовская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lastRenderedPageBreak/>
              <w:t>Рязанская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Самарская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Саратовская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Ярославская область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г. Москва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0,2%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г. Санкт-Петербург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auto" w:fill="auto"/>
            <w:vAlign w:val="center"/>
            <w:hideMark/>
          </w:tcPr>
          <w:p w:rsidR="00542913" w:rsidRPr="003C22E9" w:rsidRDefault="00542913" w:rsidP="00542913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Без адреса (в @ форме)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731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89,6%</w:t>
            </w:r>
          </w:p>
        </w:tc>
      </w:tr>
      <w:tr w:rsidR="003C22E9" w:rsidRPr="003C22E9" w:rsidTr="00411BD9">
        <w:trPr>
          <w:trHeight w:val="20"/>
        </w:trPr>
        <w:tc>
          <w:tcPr>
            <w:tcW w:w="2567" w:type="dxa"/>
            <w:shd w:val="clear" w:color="000000" w:fill="EAF1DD"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960" w:type="dxa"/>
            <w:shd w:val="clear" w:color="000000" w:fill="EAF1DD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C22E9">
              <w:rPr>
                <w:b/>
                <w:bCs/>
                <w:color w:val="auto"/>
                <w:sz w:val="18"/>
                <w:szCs w:val="18"/>
              </w:rPr>
              <w:t>816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542913" w:rsidRPr="003C22E9" w:rsidRDefault="00542913" w:rsidP="00542913">
            <w:pPr>
              <w:jc w:val="center"/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100%</w:t>
            </w:r>
          </w:p>
        </w:tc>
      </w:tr>
    </w:tbl>
    <w:p w:rsidR="001209FD" w:rsidRPr="003C22E9" w:rsidRDefault="001209FD" w:rsidP="00D931BA">
      <w:pPr>
        <w:ind w:firstLine="708"/>
        <w:jc w:val="both"/>
        <w:rPr>
          <w:color w:val="auto"/>
          <w:sz w:val="26"/>
          <w:szCs w:val="26"/>
        </w:rPr>
        <w:sectPr w:rsidR="001209FD" w:rsidRPr="003C22E9" w:rsidSect="001209FD">
          <w:type w:val="continuous"/>
          <w:pgSz w:w="11906" w:h="16838"/>
          <w:pgMar w:top="851" w:right="567" w:bottom="851" w:left="1418" w:header="397" w:footer="397" w:gutter="0"/>
          <w:cols w:num="2" w:space="720"/>
        </w:sectPr>
      </w:pPr>
    </w:p>
    <w:p w:rsidR="0075632C" w:rsidRPr="003C22E9" w:rsidRDefault="0075632C" w:rsidP="0075632C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lastRenderedPageBreak/>
        <w:t xml:space="preserve">Обращения граждан </w:t>
      </w:r>
      <w:r w:rsidR="003C22E9" w:rsidRPr="003C22E9">
        <w:rPr>
          <w:color w:val="auto"/>
          <w:sz w:val="26"/>
          <w:szCs w:val="26"/>
        </w:rPr>
        <w:t>по базе данных «Заявления граждан»</w:t>
      </w:r>
      <w:r w:rsidRPr="003C22E9">
        <w:rPr>
          <w:color w:val="auto"/>
          <w:sz w:val="26"/>
          <w:szCs w:val="26"/>
        </w:rPr>
        <w:t>, поступившие в отчетном периоде, находились на рассмотрении в следующих структурных подразделениях Управления ФНС России по Республике Мордовия:</w:t>
      </w:r>
    </w:p>
    <w:p w:rsidR="0075632C" w:rsidRPr="003C22E9" w:rsidRDefault="0075632C" w:rsidP="00C73399">
      <w:pPr>
        <w:rPr>
          <w:noProof/>
          <w:color w:val="auto"/>
          <w:sz w:val="18"/>
        </w:rPr>
        <w:sectPr w:rsidR="0075632C" w:rsidRPr="003C22E9" w:rsidSect="00495B04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tbl>
      <w:tblPr>
        <w:tblStyle w:val="af0"/>
        <w:tblW w:w="4361" w:type="dxa"/>
        <w:tblLook w:val="04A0" w:firstRow="1" w:lastRow="0" w:firstColumn="1" w:lastColumn="0" w:noHBand="0" w:noVBand="1"/>
      </w:tblPr>
      <w:tblGrid>
        <w:gridCol w:w="2660"/>
        <w:gridCol w:w="930"/>
        <w:gridCol w:w="771"/>
      </w:tblGrid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lastRenderedPageBreak/>
              <w:t>06 - ОИБ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6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07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0,7%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07 - ОКВТП И ИТ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09 - ООГУ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200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24,5%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10 - ОРУН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201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24,6%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11 - ОККСНР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91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11,2%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12 - ОККСНИ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21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2,6%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13 - ОКК НДФЛ СВ №1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32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3,9%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14 - ОКК НДФЛ СВ №2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20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2,5%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15 - ОКК НДС №1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15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1,8%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16 - ОКК НДС №2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4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0,5%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17 - ОКК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3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0,4%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lastRenderedPageBreak/>
              <w:t>19 - ОПАПНП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3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0,4%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21 - ООК №1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28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3,4%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22 - ООК №2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14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1,7%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24 - ОУСРБ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129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15,8%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25 - ОПВЗ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14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1,7%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26 - ОПУД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2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0,2%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27 - ОУЗФЛ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16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2,0%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28 - ООПБ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0,1%</w:t>
            </w:r>
          </w:p>
        </w:tc>
      </w:tr>
      <w:tr w:rsidR="003C22E9" w:rsidRPr="003C22E9" w:rsidTr="00411BD9">
        <w:tc>
          <w:tcPr>
            <w:tcW w:w="2660" w:type="dxa"/>
          </w:tcPr>
          <w:p w:rsidR="00071B8A" w:rsidRPr="003C22E9" w:rsidRDefault="00071B8A" w:rsidP="00C73399">
            <w:pPr>
              <w:rPr>
                <w:rFonts w:ascii="Times New Roman" w:hAnsi="Times New Roman" w:cs="Times New Roman"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noProof/>
                <w:sz w:val="18"/>
              </w:rPr>
              <w:t>30 - ПО №2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14</w:t>
            </w:r>
          </w:p>
        </w:tc>
        <w:tc>
          <w:tcPr>
            <w:tcW w:w="771" w:type="dxa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1,7%</w:t>
            </w:r>
          </w:p>
        </w:tc>
      </w:tr>
      <w:tr w:rsidR="003C22E9" w:rsidRPr="003C22E9" w:rsidTr="00411BD9">
        <w:tc>
          <w:tcPr>
            <w:tcW w:w="2660" w:type="dxa"/>
            <w:shd w:val="clear" w:color="auto" w:fill="EAF1DD" w:themeFill="accent3" w:themeFillTint="33"/>
          </w:tcPr>
          <w:p w:rsidR="00071B8A" w:rsidRPr="003C22E9" w:rsidRDefault="00071B8A" w:rsidP="0075632C">
            <w:pPr>
              <w:jc w:val="right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ИТОГО:</w:t>
            </w:r>
          </w:p>
        </w:tc>
        <w:tc>
          <w:tcPr>
            <w:tcW w:w="930" w:type="dxa"/>
            <w:shd w:val="clear" w:color="auto" w:fill="EAF1DD" w:themeFill="accent3" w:themeFillTint="33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</w:rPr>
            </w:pPr>
            <w:r w:rsidRPr="003C22E9">
              <w:rPr>
                <w:rFonts w:ascii="Times New Roman" w:hAnsi="Times New Roman" w:cs="Times New Roman"/>
                <w:b/>
                <w:noProof/>
                <w:sz w:val="18"/>
              </w:rPr>
              <w:t>816</w:t>
            </w:r>
          </w:p>
        </w:tc>
        <w:tc>
          <w:tcPr>
            <w:tcW w:w="771" w:type="dxa"/>
            <w:shd w:val="clear" w:color="auto" w:fill="EAF1DD" w:themeFill="accent3" w:themeFillTint="33"/>
            <w:vAlign w:val="center"/>
          </w:tcPr>
          <w:p w:rsidR="00071B8A" w:rsidRPr="003C22E9" w:rsidRDefault="00071B8A" w:rsidP="009F5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22E9">
              <w:rPr>
                <w:rFonts w:ascii="Times New Roman" w:hAnsi="Times New Roman" w:cs="Times New Roman"/>
                <w:sz w:val="18"/>
                <w:szCs w:val="18"/>
              </w:rPr>
              <w:t>100,0%</w:t>
            </w:r>
          </w:p>
        </w:tc>
      </w:tr>
    </w:tbl>
    <w:p w:rsidR="0075632C" w:rsidRPr="003C22E9" w:rsidRDefault="0075632C" w:rsidP="00D931BA">
      <w:pPr>
        <w:ind w:firstLine="708"/>
        <w:jc w:val="both"/>
        <w:rPr>
          <w:color w:val="auto"/>
          <w:sz w:val="26"/>
          <w:szCs w:val="26"/>
        </w:rPr>
        <w:sectPr w:rsidR="0075632C" w:rsidRPr="003C22E9" w:rsidSect="0075632C">
          <w:type w:val="continuous"/>
          <w:pgSz w:w="11906" w:h="16838"/>
          <w:pgMar w:top="851" w:right="567" w:bottom="851" w:left="1418" w:header="397" w:footer="397" w:gutter="0"/>
          <w:cols w:num="2" w:space="720"/>
        </w:sectPr>
      </w:pPr>
    </w:p>
    <w:p w:rsidR="007C5A20" w:rsidRPr="003C22E9" w:rsidRDefault="001968EF" w:rsidP="00D931BA">
      <w:pPr>
        <w:ind w:firstLine="708"/>
        <w:jc w:val="both"/>
        <w:rPr>
          <w:noProof/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lastRenderedPageBreak/>
        <w:t>В целом</w:t>
      </w:r>
      <w:r w:rsidR="001B1865" w:rsidRPr="003C22E9">
        <w:rPr>
          <w:color w:val="auto"/>
          <w:sz w:val="26"/>
          <w:szCs w:val="26"/>
        </w:rPr>
        <w:t>,</w:t>
      </w:r>
      <w:r w:rsidRPr="003C22E9">
        <w:rPr>
          <w:color w:val="auto"/>
          <w:sz w:val="26"/>
          <w:szCs w:val="26"/>
        </w:rPr>
        <w:t xml:space="preserve"> в </w:t>
      </w:r>
      <w:r w:rsidR="003C22E9" w:rsidRPr="003C22E9">
        <w:rPr>
          <w:color w:val="auto"/>
          <w:sz w:val="26"/>
          <w:szCs w:val="26"/>
        </w:rPr>
        <w:t xml:space="preserve">базе данных «Заявления граждан» </w:t>
      </w:r>
      <w:r w:rsidRPr="003C22E9">
        <w:rPr>
          <w:color w:val="auto"/>
          <w:sz w:val="26"/>
          <w:szCs w:val="26"/>
        </w:rPr>
        <w:t xml:space="preserve">с учетом </w:t>
      </w:r>
      <w:r w:rsidR="00D95086" w:rsidRPr="003C22E9">
        <w:rPr>
          <w:color w:val="auto"/>
          <w:sz w:val="26"/>
          <w:szCs w:val="26"/>
        </w:rPr>
        <w:t>обращений</w:t>
      </w:r>
      <w:r w:rsidR="00BA09E1" w:rsidRPr="003C22E9">
        <w:rPr>
          <w:color w:val="auto"/>
          <w:sz w:val="26"/>
          <w:szCs w:val="26"/>
        </w:rPr>
        <w:t xml:space="preserve">, </w:t>
      </w:r>
      <w:r w:rsidRPr="003C22E9">
        <w:rPr>
          <w:color w:val="auto"/>
          <w:sz w:val="26"/>
          <w:szCs w:val="26"/>
        </w:rPr>
        <w:t>перешедш</w:t>
      </w:r>
      <w:r w:rsidR="00D95086" w:rsidRPr="003C22E9">
        <w:rPr>
          <w:color w:val="auto"/>
          <w:sz w:val="26"/>
          <w:szCs w:val="26"/>
        </w:rPr>
        <w:t>их</w:t>
      </w:r>
      <w:r w:rsidRPr="003C22E9">
        <w:rPr>
          <w:color w:val="auto"/>
          <w:sz w:val="26"/>
          <w:szCs w:val="26"/>
        </w:rPr>
        <w:t xml:space="preserve"> с прошлого периода</w:t>
      </w:r>
      <w:r w:rsidR="00542913" w:rsidRPr="003C22E9">
        <w:rPr>
          <w:color w:val="auto"/>
          <w:sz w:val="26"/>
          <w:szCs w:val="26"/>
        </w:rPr>
        <w:t xml:space="preserve"> (33</w:t>
      </w:r>
      <w:r w:rsidR="00D95086" w:rsidRPr="003C22E9">
        <w:rPr>
          <w:color w:val="auto"/>
          <w:sz w:val="26"/>
          <w:szCs w:val="26"/>
        </w:rPr>
        <w:t>)</w:t>
      </w:r>
      <w:r w:rsidRPr="003C22E9">
        <w:rPr>
          <w:color w:val="auto"/>
          <w:sz w:val="26"/>
          <w:szCs w:val="26"/>
        </w:rPr>
        <w:t xml:space="preserve">, </w:t>
      </w:r>
      <w:r w:rsidR="00EC3590" w:rsidRPr="003C22E9">
        <w:rPr>
          <w:color w:val="auto"/>
          <w:sz w:val="26"/>
          <w:szCs w:val="26"/>
        </w:rPr>
        <w:t>на исполнении</w:t>
      </w:r>
      <w:r w:rsidR="00A20944" w:rsidRPr="003C22E9">
        <w:rPr>
          <w:color w:val="auto"/>
          <w:sz w:val="26"/>
          <w:szCs w:val="26"/>
        </w:rPr>
        <w:t xml:space="preserve"> находилось</w:t>
      </w:r>
      <w:r w:rsidR="00170FAD" w:rsidRPr="003C22E9">
        <w:rPr>
          <w:color w:val="auto"/>
          <w:sz w:val="26"/>
          <w:szCs w:val="26"/>
        </w:rPr>
        <w:t xml:space="preserve"> </w:t>
      </w:r>
      <w:r w:rsidR="00542913" w:rsidRPr="003C22E9">
        <w:rPr>
          <w:color w:val="auto"/>
          <w:sz w:val="26"/>
          <w:szCs w:val="26"/>
        </w:rPr>
        <w:t>849</w:t>
      </w:r>
      <w:r w:rsidRPr="003C22E9">
        <w:rPr>
          <w:color w:val="auto"/>
          <w:sz w:val="26"/>
          <w:szCs w:val="26"/>
        </w:rPr>
        <w:t xml:space="preserve"> обращени</w:t>
      </w:r>
      <w:r w:rsidR="00024160" w:rsidRPr="003C22E9">
        <w:rPr>
          <w:color w:val="auto"/>
          <w:sz w:val="26"/>
          <w:szCs w:val="26"/>
        </w:rPr>
        <w:t>й, из них по 80</w:t>
      </w:r>
      <w:r w:rsidRPr="003C22E9">
        <w:rPr>
          <w:color w:val="auto"/>
          <w:sz w:val="26"/>
          <w:szCs w:val="26"/>
        </w:rPr>
        <w:t xml:space="preserve"> обращениям сро</w:t>
      </w:r>
      <w:r w:rsidR="002E7205" w:rsidRPr="003C22E9">
        <w:rPr>
          <w:color w:val="auto"/>
          <w:sz w:val="26"/>
          <w:szCs w:val="26"/>
        </w:rPr>
        <w:t xml:space="preserve">к исполнения в отчетном месяце </w:t>
      </w:r>
      <w:r w:rsidRPr="003C22E9">
        <w:rPr>
          <w:color w:val="auto"/>
          <w:sz w:val="26"/>
          <w:szCs w:val="26"/>
        </w:rPr>
        <w:t>не наступил. По результатам исполнения</w:t>
      </w:r>
      <w:r w:rsidR="00024160" w:rsidRPr="003C22E9">
        <w:rPr>
          <w:color w:val="auto"/>
          <w:sz w:val="26"/>
          <w:szCs w:val="26"/>
        </w:rPr>
        <w:t xml:space="preserve"> </w:t>
      </w:r>
      <w:r w:rsidR="00542913" w:rsidRPr="003C22E9">
        <w:rPr>
          <w:color w:val="auto"/>
          <w:sz w:val="26"/>
          <w:szCs w:val="26"/>
        </w:rPr>
        <w:t>769</w:t>
      </w:r>
      <w:r w:rsidR="00024160" w:rsidRPr="003C22E9">
        <w:rPr>
          <w:color w:val="auto"/>
          <w:sz w:val="26"/>
          <w:szCs w:val="26"/>
        </w:rPr>
        <w:t xml:space="preserve"> обращений</w:t>
      </w:r>
      <w:r w:rsidRPr="003C22E9">
        <w:rPr>
          <w:color w:val="auto"/>
          <w:sz w:val="26"/>
          <w:szCs w:val="26"/>
        </w:rPr>
        <w:t>:</w:t>
      </w:r>
      <w:r w:rsidR="00542913" w:rsidRPr="003C22E9">
        <w:rPr>
          <w:noProof/>
          <w:color w:val="auto"/>
          <w:sz w:val="26"/>
          <w:szCs w:val="26"/>
        </w:rPr>
        <w:t xml:space="preserve"> Удовлетворено – 267</w:t>
      </w:r>
      <w:r w:rsidR="00B3274D" w:rsidRPr="003C22E9">
        <w:rPr>
          <w:noProof/>
          <w:color w:val="auto"/>
          <w:sz w:val="26"/>
          <w:szCs w:val="26"/>
        </w:rPr>
        <w:t xml:space="preserve">; Дано разъяснение – </w:t>
      </w:r>
      <w:r w:rsidR="00542913" w:rsidRPr="003C22E9">
        <w:rPr>
          <w:noProof/>
          <w:color w:val="auto"/>
          <w:sz w:val="26"/>
          <w:szCs w:val="26"/>
        </w:rPr>
        <w:t>367</w:t>
      </w:r>
      <w:r w:rsidR="001B1865" w:rsidRPr="003C22E9">
        <w:rPr>
          <w:noProof/>
          <w:color w:val="auto"/>
          <w:sz w:val="26"/>
          <w:szCs w:val="26"/>
        </w:rPr>
        <w:t xml:space="preserve">; </w:t>
      </w:r>
      <w:r w:rsidR="003873FE" w:rsidRPr="003C22E9">
        <w:rPr>
          <w:noProof/>
          <w:color w:val="auto"/>
          <w:sz w:val="26"/>
          <w:szCs w:val="26"/>
        </w:rPr>
        <w:t xml:space="preserve">Направлено письмо – </w:t>
      </w:r>
      <w:r w:rsidR="00542913" w:rsidRPr="003C22E9">
        <w:rPr>
          <w:noProof/>
          <w:color w:val="auto"/>
          <w:sz w:val="26"/>
          <w:szCs w:val="26"/>
        </w:rPr>
        <w:t>128</w:t>
      </w:r>
      <w:r w:rsidR="007C5A20" w:rsidRPr="003C22E9">
        <w:rPr>
          <w:noProof/>
          <w:color w:val="auto"/>
          <w:sz w:val="26"/>
          <w:szCs w:val="26"/>
        </w:rPr>
        <w:t xml:space="preserve">; Отклонено </w:t>
      </w:r>
      <w:r w:rsidR="00542913" w:rsidRPr="003C22E9">
        <w:rPr>
          <w:noProof/>
          <w:color w:val="auto"/>
          <w:sz w:val="26"/>
          <w:szCs w:val="26"/>
        </w:rPr>
        <w:t>(не подтвердились сигналы) – 7</w:t>
      </w:r>
      <w:r w:rsidR="007C5A20" w:rsidRPr="003C22E9">
        <w:rPr>
          <w:noProof/>
          <w:color w:val="auto"/>
          <w:sz w:val="26"/>
          <w:szCs w:val="26"/>
        </w:rPr>
        <w:t>.</w:t>
      </w:r>
    </w:p>
    <w:p w:rsidR="00FC7892" w:rsidRPr="003C22E9" w:rsidRDefault="007C5A20" w:rsidP="00542913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 </w:t>
      </w:r>
      <w:r w:rsidR="00FC7892" w:rsidRPr="003C22E9">
        <w:rPr>
          <w:color w:val="auto"/>
          <w:sz w:val="26"/>
          <w:szCs w:val="26"/>
        </w:rPr>
        <w:t>По всем п</w:t>
      </w:r>
      <w:r w:rsidR="00D36CA2" w:rsidRPr="003C22E9">
        <w:rPr>
          <w:color w:val="auto"/>
          <w:sz w:val="26"/>
          <w:szCs w:val="26"/>
        </w:rPr>
        <w:t>оступившим обращениям граждан</w:t>
      </w:r>
      <w:r w:rsidR="00BA62DB" w:rsidRPr="003C22E9">
        <w:rPr>
          <w:color w:val="auto"/>
          <w:sz w:val="26"/>
          <w:szCs w:val="26"/>
        </w:rPr>
        <w:t xml:space="preserve"> за отчетный период </w:t>
      </w:r>
      <w:r w:rsidR="00FC7892" w:rsidRPr="003C22E9">
        <w:rPr>
          <w:color w:val="auto"/>
          <w:sz w:val="26"/>
          <w:szCs w:val="26"/>
        </w:rPr>
        <w:t xml:space="preserve">специалистами Управления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</w:t>
      </w:r>
      <w:r w:rsidR="002E7205" w:rsidRPr="003C22E9">
        <w:rPr>
          <w:color w:val="auto"/>
          <w:sz w:val="26"/>
          <w:szCs w:val="26"/>
        </w:rPr>
        <w:t xml:space="preserve">должностных лиц </w:t>
      </w:r>
      <w:r w:rsidR="00FC7892" w:rsidRPr="003C22E9">
        <w:rPr>
          <w:color w:val="auto"/>
          <w:sz w:val="26"/>
          <w:szCs w:val="26"/>
        </w:rPr>
        <w:t xml:space="preserve">налоговых органов. </w:t>
      </w:r>
    </w:p>
    <w:p w:rsidR="00D36093" w:rsidRPr="003C22E9" w:rsidRDefault="00D36093" w:rsidP="00D36093">
      <w:pPr>
        <w:ind w:firstLine="708"/>
        <w:jc w:val="both"/>
        <w:rPr>
          <w:color w:val="auto"/>
          <w:sz w:val="26"/>
          <w:szCs w:val="26"/>
        </w:rPr>
      </w:pPr>
      <w:r w:rsidRPr="003C22E9">
        <w:rPr>
          <w:color w:val="auto"/>
          <w:sz w:val="26"/>
          <w:szCs w:val="26"/>
        </w:rPr>
        <w:t xml:space="preserve">На личном приеме граждан у </w:t>
      </w:r>
      <w:r w:rsidR="003C22E9" w:rsidRPr="003C22E9">
        <w:rPr>
          <w:color w:val="auto"/>
          <w:sz w:val="26"/>
          <w:szCs w:val="26"/>
        </w:rPr>
        <w:t>р</w:t>
      </w:r>
      <w:r w:rsidRPr="003C22E9">
        <w:rPr>
          <w:color w:val="auto"/>
          <w:sz w:val="26"/>
          <w:szCs w:val="26"/>
        </w:rPr>
        <w:t>уководителя (зам.</w:t>
      </w:r>
      <w:r w:rsidR="003C22E9" w:rsidRPr="003C22E9">
        <w:rPr>
          <w:color w:val="auto"/>
          <w:sz w:val="26"/>
          <w:szCs w:val="26"/>
        </w:rPr>
        <w:t xml:space="preserve"> </w:t>
      </w:r>
      <w:r w:rsidRPr="003C22E9">
        <w:rPr>
          <w:color w:val="auto"/>
          <w:sz w:val="26"/>
          <w:szCs w:val="26"/>
        </w:rPr>
        <w:t xml:space="preserve">руководителя) Управления ФНС Росси по Республике Мордовия в </w:t>
      </w:r>
      <w:r w:rsidR="003A0500" w:rsidRPr="003C22E9">
        <w:rPr>
          <w:color w:val="auto"/>
          <w:sz w:val="26"/>
          <w:szCs w:val="26"/>
          <w:lang w:val="en-US"/>
        </w:rPr>
        <w:t>I</w:t>
      </w:r>
      <w:r w:rsidR="003A0500" w:rsidRPr="003C22E9">
        <w:rPr>
          <w:color w:val="auto"/>
          <w:sz w:val="26"/>
          <w:szCs w:val="26"/>
        </w:rPr>
        <w:t xml:space="preserve"> квартале </w:t>
      </w:r>
      <w:r w:rsidRPr="003C22E9">
        <w:rPr>
          <w:color w:val="auto"/>
          <w:sz w:val="26"/>
          <w:szCs w:val="26"/>
        </w:rPr>
        <w:t>2023 года принято 3 физических и 1 представитель юридического лица, по следующим вопросам:</w:t>
      </w:r>
    </w:p>
    <w:tbl>
      <w:tblPr>
        <w:tblW w:w="9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9"/>
        <w:gridCol w:w="758"/>
        <w:gridCol w:w="2523"/>
      </w:tblGrid>
      <w:tr w:rsidR="003C22E9" w:rsidRPr="003C22E9" w:rsidTr="00D36093">
        <w:tc>
          <w:tcPr>
            <w:tcW w:w="5779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758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– 2</w:t>
            </w:r>
          </w:p>
        </w:tc>
        <w:tc>
          <w:tcPr>
            <w:tcW w:w="2523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3C22E9" w:rsidRPr="003C22E9" w:rsidTr="00D36093">
        <w:tc>
          <w:tcPr>
            <w:tcW w:w="5779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758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– 1</w:t>
            </w:r>
          </w:p>
        </w:tc>
        <w:tc>
          <w:tcPr>
            <w:tcW w:w="2523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  <w:tr w:rsidR="00D36093" w:rsidRPr="003C22E9" w:rsidTr="00D36093">
        <w:tc>
          <w:tcPr>
            <w:tcW w:w="5779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758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– 1</w:t>
            </w:r>
          </w:p>
        </w:tc>
        <w:tc>
          <w:tcPr>
            <w:tcW w:w="2523" w:type="dxa"/>
          </w:tcPr>
          <w:p w:rsidR="00D36093" w:rsidRPr="003C22E9" w:rsidRDefault="00D36093" w:rsidP="004A2661">
            <w:pPr>
              <w:rPr>
                <w:color w:val="auto"/>
                <w:sz w:val="18"/>
                <w:szCs w:val="18"/>
              </w:rPr>
            </w:pPr>
            <w:r w:rsidRPr="003C22E9">
              <w:rPr>
                <w:color w:val="auto"/>
                <w:sz w:val="18"/>
                <w:szCs w:val="18"/>
              </w:rPr>
              <w:t>Дано разъяснение</w:t>
            </w:r>
          </w:p>
        </w:tc>
      </w:tr>
    </w:tbl>
    <w:p w:rsidR="003837CB" w:rsidRPr="003C22E9" w:rsidRDefault="003837CB" w:rsidP="00FC7892">
      <w:pPr>
        <w:ind w:firstLine="708"/>
        <w:jc w:val="both"/>
        <w:rPr>
          <w:color w:val="auto"/>
          <w:sz w:val="26"/>
          <w:szCs w:val="26"/>
        </w:rPr>
      </w:pPr>
    </w:p>
    <w:p w:rsidR="001209FD" w:rsidRPr="003C22E9" w:rsidRDefault="001209FD" w:rsidP="00FC7892">
      <w:pPr>
        <w:ind w:firstLine="708"/>
        <w:jc w:val="both"/>
        <w:rPr>
          <w:color w:val="auto"/>
          <w:sz w:val="26"/>
          <w:szCs w:val="26"/>
        </w:rPr>
      </w:pPr>
    </w:p>
    <w:sectPr w:rsidR="001209FD" w:rsidRPr="003C22E9" w:rsidSect="004162B0"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42" w:rsidRDefault="003A1B42">
      <w:r>
        <w:separator/>
      </w:r>
    </w:p>
  </w:endnote>
  <w:endnote w:type="continuationSeparator" w:id="0">
    <w:p w:rsidR="003A1B42" w:rsidRDefault="003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BD9" w:rsidRPr="00411BD9" w:rsidRDefault="00411BD9">
    <w:pPr>
      <w:pStyle w:val="a3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42" w:rsidRDefault="003A1B42">
      <w:r>
        <w:separator/>
      </w:r>
    </w:p>
  </w:footnote>
  <w:footnote w:type="continuationSeparator" w:id="0">
    <w:p w:rsidR="003A1B42" w:rsidRDefault="003A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DB" w:rsidRDefault="00BA62D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C22E9">
      <w:rPr>
        <w:noProof/>
      </w:rPr>
      <w:t>2</w:t>
    </w:r>
    <w:r>
      <w:fldChar w:fldCharType="end"/>
    </w:r>
  </w:p>
  <w:p w:rsidR="00BA62DB" w:rsidRDefault="00BA62DB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2DB" w:rsidRDefault="00BA62DB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61C5"/>
    <w:rsid w:val="00071B8A"/>
    <w:rsid w:val="00092984"/>
    <w:rsid w:val="000B17C3"/>
    <w:rsid w:val="000B4CF4"/>
    <w:rsid w:val="000C6095"/>
    <w:rsid w:val="000D288C"/>
    <w:rsid w:val="000D5F80"/>
    <w:rsid w:val="000F0956"/>
    <w:rsid w:val="0010136E"/>
    <w:rsid w:val="001209FD"/>
    <w:rsid w:val="00127102"/>
    <w:rsid w:val="00132A73"/>
    <w:rsid w:val="00137EDA"/>
    <w:rsid w:val="00142468"/>
    <w:rsid w:val="001462EC"/>
    <w:rsid w:val="0016244F"/>
    <w:rsid w:val="0016745C"/>
    <w:rsid w:val="00170FAD"/>
    <w:rsid w:val="0018538B"/>
    <w:rsid w:val="0019413F"/>
    <w:rsid w:val="001968EF"/>
    <w:rsid w:val="001B17E8"/>
    <w:rsid w:val="001B1865"/>
    <w:rsid w:val="001E4B28"/>
    <w:rsid w:val="001F54F4"/>
    <w:rsid w:val="001F58F6"/>
    <w:rsid w:val="00203E7F"/>
    <w:rsid w:val="00212347"/>
    <w:rsid w:val="00215974"/>
    <w:rsid w:val="00216490"/>
    <w:rsid w:val="00251A1E"/>
    <w:rsid w:val="00256053"/>
    <w:rsid w:val="002A0D54"/>
    <w:rsid w:val="002A5661"/>
    <w:rsid w:val="002C646D"/>
    <w:rsid w:val="002E632D"/>
    <w:rsid w:val="002E7205"/>
    <w:rsid w:val="002F545A"/>
    <w:rsid w:val="0030067F"/>
    <w:rsid w:val="00316EC5"/>
    <w:rsid w:val="003212D9"/>
    <w:rsid w:val="00375AFD"/>
    <w:rsid w:val="003837CB"/>
    <w:rsid w:val="003873FE"/>
    <w:rsid w:val="003A0500"/>
    <w:rsid w:val="003A1B42"/>
    <w:rsid w:val="003A2400"/>
    <w:rsid w:val="003B6C11"/>
    <w:rsid w:val="003C22E9"/>
    <w:rsid w:val="003C7FD6"/>
    <w:rsid w:val="003E0CD8"/>
    <w:rsid w:val="003F102D"/>
    <w:rsid w:val="003F3E5F"/>
    <w:rsid w:val="003F5DE7"/>
    <w:rsid w:val="004117E6"/>
    <w:rsid w:val="00411BD9"/>
    <w:rsid w:val="00413F0E"/>
    <w:rsid w:val="004162B0"/>
    <w:rsid w:val="00434117"/>
    <w:rsid w:val="00443EE5"/>
    <w:rsid w:val="00464102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B2020"/>
    <w:rsid w:val="004C3E94"/>
    <w:rsid w:val="004C5145"/>
    <w:rsid w:val="004E0A28"/>
    <w:rsid w:val="00500CFA"/>
    <w:rsid w:val="00511146"/>
    <w:rsid w:val="00511D68"/>
    <w:rsid w:val="00542913"/>
    <w:rsid w:val="005445B5"/>
    <w:rsid w:val="00564B5F"/>
    <w:rsid w:val="00590BBD"/>
    <w:rsid w:val="0059330B"/>
    <w:rsid w:val="005A034B"/>
    <w:rsid w:val="005B3564"/>
    <w:rsid w:val="005C2026"/>
    <w:rsid w:val="005C281A"/>
    <w:rsid w:val="005E1B93"/>
    <w:rsid w:val="00634671"/>
    <w:rsid w:val="00634AA9"/>
    <w:rsid w:val="0064424C"/>
    <w:rsid w:val="00654DB4"/>
    <w:rsid w:val="006579E8"/>
    <w:rsid w:val="006617C3"/>
    <w:rsid w:val="006976AA"/>
    <w:rsid w:val="006A3C82"/>
    <w:rsid w:val="006A64DD"/>
    <w:rsid w:val="006B1AF1"/>
    <w:rsid w:val="006B5E37"/>
    <w:rsid w:val="006C5558"/>
    <w:rsid w:val="006C6FFD"/>
    <w:rsid w:val="006E5FC3"/>
    <w:rsid w:val="0070364E"/>
    <w:rsid w:val="007132D2"/>
    <w:rsid w:val="00746DBB"/>
    <w:rsid w:val="007537EC"/>
    <w:rsid w:val="00753E9B"/>
    <w:rsid w:val="0075632C"/>
    <w:rsid w:val="0076494B"/>
    <w:rsid w:val="007748BA"/>
    <w:rsid w:val="00777099"/>
    <w:rsid w:val="007770B3"/>
    <w:rsid w:val="00787313"/>
    <w:rsid w:val="007A6FCB"/>
    <w:rsid w:val="007C10D0"/>
    <w:rsid w:val="007C356F"/>
    <w:rsid w:val="007C5A20"/>
    <w:rsid w:val="007C6915"/>
    <w:rsid w:val="007D350B"/>
    <w:rsid w:val="007E2F6D"/>
    <w:rsid w:val="008156F2"/>
    <w:rsid w:val="00816BC0"/>
    <w:rsid w:val="00832E1F"/>
    <w:rsid w:val="008656BB"/>
    <w:rsid w:val="00867336"/>
    <w:rsid w:val="00876659"/>
    <w:rsid w:val="008815E5"/>
    <w:rsid w:val="00884F6B"/>
    <w:rsid w:val="008871E3"/>
    <w:rsid w:val="0089101C"/>
    <w:rsid w:val="00892016"/>
    <w:rsid w:val="00897125"/>
    <w:rsid w:val="008A5357"/>
    <w:rsid w:val="008A5623"/>
    <w:rsid w:val="008B2D2D"/>
    <w:rsid w:val="008B4D13"/>
    <w:rsid w:val="008D2158"/>
    <w:rsid w:val="008D5E97"/>
    <w:rsid w:val="008F1BDB"/>
    <w:rsid w:val="008F564A"/>
    <w:rsid w:val="00905483"/>
    <w:rsid w:val="0090737D"/>
    <w:rsid w:val="00911EC7"/>
    <w:rsid w:val="009151ED"/>
    <w:rsid w:val="00917DD2"/>
    <w:rsid w:val="009538F6"/>
    <w:rsid w:val="0099516A"/>
    <w:rsid w:val="00997238"/>
    <w:rsid w:val="009A000F"/>
    <w:rsid w:val="009A141E"/>
    <w:rsid w:val="009A57F6"/>
    <w:rsid w:val="009B342F"/>
    <w:rsid w:val="009C3289"/>
    <w:rsid w:val="009C6D8D"/>
    <w:rsid w:val="009D46B7"/>
    <w:rsid w:val="00A20944"/>
    <w:rsid w:val="00A36ADF"/>
    <w:rsid w:val="00A54B4F"/>
    <w:rsid w:val="00A746CB"/>
    <w:rsid w:val="00A84594"/>
    <w:rsid w:val="00A85280"/>
    <w:rsid w:val="00AE12DD"/>
    <w:rsid w:val="00AE2A2E"/>
    <w:rsid w:val="00AE4896"/>
    <w:rsid w:val="00AE6158"/>
    <w:rsid w:val="00B30643"/>
    <w:rsid w:val="00B3274D"/>
    <w:rsid w:val="00B506FF"/>
    <w:rsid w:val="00B538C4"/>
    <w:rsid w:val="00B67BCF"/>
    <w:rsid w:val="00B70500"/>
    <w:rsid w:val="00B749BF"/>
    <w:rsid w:val="00BA09E1"/>
    <w:rsid w:val="00BA0DBB"/>
    <w:rsid w:val="00BA314F"/>
    <w:rsid w:val="00BA62DB"/>
    <w:rsid w:val="00BE6F49"/>
    <w:rsid w:val="00C036B4"/>
    <w:rsid w:val="00C03E14"/>
    <w:rsid w:val="00C0773B"/>
    <w:rsid w:val="00C12B11"/>
    <w:rsid w:val="00C22AF1"/>
    <w:rsid w:val="00C403DF"/>
    <w:rsid w:val="00C41208"/>
    <w:rsid w:val="00C45854"/>
    <w:rsid w:val="00C91C25"/>
    <w:rsid w:val="00CA6A33"/>
    <w:rsid w:val="00CB38F1"/>
    <w:rsid w:val="00CB3951"/>
    <w:rsid w:val="00CC38E0"/>
    <w:rsid w:val="00CD39B7"/>
    <w:rsid w:val="00CF64E0"/>
    <w:rsid w:val="00D0255B"/>
    <w:rsid w:val="00D36093"/>
    <w:rsid w:val="00D36CA2"/>
    <w:rsid w:val="00D42AD2"/>
    <w:rsid w:val="00D70E90"/>
    <w:rsid w:val="00D76997"/>
    <w:rsid w:val="00D822D4"/>
    <w:rsid w:val="00D931BA"/>
    <w:rsid w:val="00D95086"/>
    <w:rsid w:val="00D975C3"/>
    <w:rsid w:val="00DA5045"/>
    <w:rsid w:val="00DA5698"/>
    <w:rsid w:val="00DA6212"/>
    <w:rsid w:val="00DB6688"/>
    <w:rsid w:val="00DD18B0"/>
    <w:rsid w:val="00DD682A"/>
    <w:rsid w:val="00DF0196"/>
    <w:rsid w:val="00E074E7"/>
    <w:rsid w:val="00E14886"/>
    <w:rsid w:val="00E34E29"/>
    <w:rsid w:val="00E432C3"/>
    <w:rsid w:val="00E510AB"/>
    <w:rsid w:val="00E64A6F"/>
    <w:rsid w:val="00E76A4A"/>
    <w:rsid w:val="00E91726"/>
    <w:rsid w:val="00EA66E0"/>
    <w:rsid w:val="00EC3590"/>
    <w:rsid w:val="00EF7AE5"/>
    <w:rsid w:val="00F245DA"/>
    <w:rsid w:val="00F3135F"/>
    <w:rsid w:val="00F55ED3"/>
    <w:rsid w:val="00F71145"/>
    <w:rsid w:val="00F716C8"/>
    <w:rsid w:val="00F845F3"/>
    <w:rsid w:val="00F86F13"/>
    <w:rsid w:val="00F90F0D"/>
    <w:rsid w:val="00F91719"/>
    <w:rsid w:val="00F953F0"/>
    <w:rsid w:val="00FA27E8"/>
    <w:rsid w:val="00FC6B64"/>
    <w:rsid w:val="00FC7892"/>
    <w:rsid w:val="00FD2D0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4253-69B3-4A72-8846-E1E18070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2</cp:revision>
  <cp:lastPrinted>2023-05-25T10:50:00Z</cp:lastPrinted>
  <dcterms:created xsi:type="dcterms:W3CDTF">2023-05-25T12:34:00Z</dcterms:created>
  <dcterms:modified xsi:type="dcterms:W3CDTF">2023-05-25T12:34:00Z</dcterms:modified>
</cp:coreProperties>
</file>