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46" w:rsidRPr="005F1D09" w:rsidRDefault="00A71546" w:rsidP="00A71546">
      <w:pPr>
        <w:pStyle w:val="a3"/>
        <w:jc w:val="center"/>
        <w:rPr>
          <w:b/>
          <w:sz w:val="22"/>
          <w:szCs w:val="22"/>
        </w:rPr>
      </w:pPr>
      <w:bookmarkStart w:id="0" w:name="_GoBack"/>
      <w:r w:rsidRPr="005F1D09">
        <w:rPr>
          <w:b/>
          <w:sz w:val="22"/>
          <w:szCs w:val="22"/>
        </w:rPr>
        <w:t>Справка</w:t>
      </w:r>
    </w:p>
    <w:p w:rsidR="00A71546" w:rsidRPr="005F1D09" w:rsidRDefault="00A71546" w:rsidP="00A71546">
      <w:pPr>
        <w:pStyle w:val="a3"/>
        <w:jc w:val="center"/>
        <w:rPr>
          <w:b/>
          <w:sz w:val="22"/>
          <w:szCs w:val="22"/>
        </w:rPr>
      </w:pPr>
      <w:r w:rsidRPr="005F1D09">
        <w:rPr>
          <w:b/>
          <w:sz w:val="22"/>
          <w:szCs w:val="22"/>
        </w:rPr>
        <w:t xml:space="preserve">о работе с обращениями граждан, юридических лиц </w:t>
      </w:r>
    </w:p>
    <w:p w:rsidR="00A71546" w:rsidRPr="005F1D09" w:rsidRDefault="00A71546" w:rsidP="00A71546">
      <w:pPr>
        <w:pStyle w:val="a3"/>
        <w:jc w:val="center"/>
        <w:rPr>
          <w:b/>
          <w:sz w:val="22"/>
          <w:szCs w:val="22"/>
        </w:rPr>
      </w:pPr>
      <w:r w:rsidRPr="005F1D09">
        <w:rPr>
          <w:b/>
          <w:sz w:val="22"/>
          <w:szCs w:val="22"/>
        </w:rPr>
        <w:t>и запросами пользователей информацией поступившими</w:t>
      </w:r>
    </w:p>
    <w:p w:rsidR="00A71546" w:rsidRPr="00A71546" w:rsidRDefault="00A71546" w:rsidP="00A71546">
      <w:pPr>
        <w:pStyle w:val="a3"/>
        <w:jc w:val="center"/>
        <w:rPr>
          <w:sz w:val="22"/>
          <w:szCs w:val="22"/>
        </w:rPr>
      </w:pPr>
      <w:r w:rsidRPr="005F1D09">
        <w:rPr>
          <w:b/>
          <w:sz w:val="22"/>
          <w:szCs w:val="22"/>
        </w:rPr>
        <w:t xml:space="preserve"> по Республике Мордовия</w:t>
      </w:r>
      <w:bookmarkEnd w:id="0"/>
      <w:r w:rsidRPr="00A71546">
        <w:rPr>
          <w:sz w:val="22"/>
          <w:szCs w:val="22"/>
        </w:rPr>
        <w:t xml:space="preserve"> </w:t>
      </w:r>
    </w:p>
    <w:p w:rsidR="00A71546" w:rsidRPr="00A71546" w:rsidRDefault="00A71546" w:rsidP="00A71546">
      <w:pPr>
        <w:pStyle w:val="a3"/>
        <w:jc w:val="center"/>
        <w:rPr>
          <w:color w:val="FF0000"/>
          <w:sz w:val="22"/>
          <w:szCs w:val="22"/>
          <w:u w:val="single"/>
        </w:rPr>
      </w:pPr>
    </w:p>
    <w:p w:rsidR="00A71546" w:rsidRPr="00A71546" w:rsidRDefault="00A71546" w:rsidP="00A71546">
      <w:pPr>
        <w:pStyle w:val="a3"/>
        <w:jc w:val="center"/>
        <w:rPr>
          <w:sz w:val="22"/>
          <w:szCs w:val="22"/>
          <w:u w:val="single"/>
        </w:rPr>
      </w:pP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>В целом по Республике Мордовия за 3 квартал 2018 года в налоговые органы поступило 13866 обращений граждан, что составляет 68,9% от уровня предшествующего квартала. Программным комплексом СЭД-регион в Базе данных «Заявления граждан» зарегистрировано 1265 обращений, которые находятся на особом контроле у руководства налоговых органов, что в 1,2 раза больше, чем во 2 квартале 2018 года.</w:t>
      </w:r>
    </w:p>
    <w:p w:rsidR="00A71546" w:rsidRPr="00A71546" w:rsidRDefault="00A71546" w:rsidP="00A71546">
      <w:pPr>
        <w:spacing w:after="6"/>
        <w:ind w:firstLine="708"/>
        <w:jc w:val="both"/>
        <w:rPr>
          <w:bCs/>
        </w:rPr>
      </w:pPr>
      <w:r w:rsidRPr="00A71546">
        <w:rPr>
          <w:bCs/>
        </w:rPr>
        <w:t>По способу доставки обращения поступили: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68 </w:t>
      </w:r>
      <w:r w:rsidRPr="00A71546">
        <w:rPr>
          <w:sz w:val="20"/>
          <w:szCs w:val="20"/>
        </w:rPr>
        <w:t>(5,4%) – по сети Интернет;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21 </w:t>
      </w:r>
      <w:r w:rsidRPr="00A71546">
        <w:rPr>
          <w:sz w:val="20"/>
          <w:szCs w:val="20"/>
        </w:rPr>
        <w:t xml:space="preserve">(1,7%) – </w:t>
      </w:r>
      <w:r w:rsidRPr="00A71546">
        <w:rPr>
          <w:sz w:val="20"/>
          <w:szCs w:val="20"/>
        </w:rPr>
        <w:t>по жизненным ситуациям (</w:t>
      </w:r>
      <w:proofErr w:type="gramStart"/>
      <w:r w:rsidRPr="00A71546">
        <w:rPr>
          <w:sz w:val="20"/>
          <w:szCs w:val="20"/>
        </w:rPr>
        <w:t>Интернет-обращения</w:t>
      </w:r>
      <w:proofErr w:type="gramEnd"/>
      <w:r w:rsidRPr="00A71546">
        <w:rPr>
          <w:sz w:val="20"/>
          <w:szCs w:val="20"/>
        </w:rPr>
        <w:t>)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8 </w:t>
      </w:r>
      <w:r w:rsidRPr="00A71546">
        <w:rPr>
          <w:sz w:val="20"/>
          <w:szCs w:val="20"/>
        </w:rPr>
        <w:t xml:space="preserve">(0,6%) – </w:t>
      </w:r>
      <w:r w:rsidRPr="00A71546">
        <w:rPr>
          <w:sz w:val="20"/>
          <w:szCs w:val="20"/>
        </w:rPr>
        <w:t>по жизненным ситуациям (обращения)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557 </w:t>
      </w:r>
      <w:r w:rsidRPr="00A71546">
        <w:rPr>
          <w:sz w:val="20"/>
          <w:szCs w:val="20"/>
        </w:rPr>
        <w:t xml:space="preserve">(44%) – через сервис </w:t>
      </w:r>
      <w:r w:rsidRPr="00A71546">
        <w:rPr>
          <w:sz w:val="20"/>
          <w:szCs w:val="20"/>
        </w:rPr>
        <w:t>Личный кабинет налогоплательщика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12 </w:t>
      </w:r>
      <w:r w:rsidRPr="00A71546">
        <w:rPr>
          <w:sz w:val="20"/>
          <w:szCs w:val="20"/>
        </w:rPr>
        <w:t xml:space="preserve">(0,9%) – через сервис </w:t>
      </w:r>
      <w:r w:rsidRPr="00A71546">
        <w:rPr>
          <w:sz w:val="20"/>
          <w:szCs w:val="20"/>
        </w:rPr>
        <w:t>Личный кабинет налогоплательщика (жалобы)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65 </w:t>
      </w:r>
      <w:r w:rsidRPr="00A71546">
        <w:rPr>
          <w:sz w:val="20"/>
          <w:szCs w:val="20"/>
        </w:rPr>
        <w:t xml:space="preserve">(5,1%) – через сервис </w:t>
      </w:r>
      <w:r w:rsidRPr="00A71546">
        <w:rPr>
          <w:sz w:val="20"/>
          <w:szCs w:val="20"/>
        </w:rPr>
        <w:t>Личный кабинет индивидуального предпринимателя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30 </w:t>
      </w:r>
      <w:r w:rsidRPr="00A71546">
        <w:rPr>
          <w:sz w:val="20"/>
          <w:szCs w:val="20"/>
        </w:rPr>
        <w:t>(2,4%) – получено через ФНС России;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232 </w:t>
      </w:r>
      <w:r w:rsidRPr="00A71546">
        <w:rPr>
          <w:sz w:val="20"/>
          <w:szCs w:val="20"/>
        </w:rPr>
        <w:t>(18,3%) – получено через МИ ФНС Росси по ЦОД;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33 </w:t>
      </w:r>
      <w:r w:rsidRPr="00A71546">
        <w:rPr>
          <w:sz w:val="20"/>
          <w:szCs w:val="20"/>
        </w:rPr>
        <w:t xml:space="preserve">(2,6%) – получено через иной </w:t>
      </w:r>
      <w:r w:rsidRPr="00A71546">
        <w:rPr>
          <w:sz w:val="20"/>
          <w:szCs w:val="20"/>
        </w:rPr>
        <w:t>территориальный налоговый орган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7 </w:t>
      </w:r>
      <w:r w:rsidRPr="00A71546">
        <w:rPr>
          <w:sz w:val="20"/>
          <w:szCs w:val="20"/>
        </w:rPr>
        <w:t>(0,6%) – с сайта GOSUSLUGI.RU;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16 </w:t>
      </w:r>
      <w:r w:rsidRPr="00A71546">
        <w:rPr>
          <w:sz w:val="20"/>
          <w:szCs w:val="20"/>
        </w:rPr>
        <w:t>(1,3%) – получено от третьего лица;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213 </w:t>
      </w:r>
      <w:r w:rsidRPr="00A71546">
        <w:rPr>
          <w:sz w:val="20"/>
          <w:szCs w:val="20"/>
        </w:rPr>
        <w:t>(16,8%) – лично (почтой) на бумаге;</w:t>
      </w:r>
    </w:p>
    <w:p w:rsidR="00A71546" w:rsidRPr="00A71546" w:rsidRDefault="00A71546" w:rsidP="00A71546">
      <w:pPr>
        <w:tabs>
          <w:tab w:val="left" w:pos="1809"/>
          <w:tab w:val="left" w:pos="4219"/>
        </w:tabs>
        <w:ind w:left="93"/>
        <w:rPr>
          <w:sz w:val="20"/>
          <w:szCs w:val="20"/>
        </w:rPr>
      </w:pPr>
      <w:r w:rsidRPr="00A71546">
        <w:rPr>
          <w:bCs/>
          <w:sz w:val="20"/>
          <w:szCs w:val="20"/>
        </w:rPr>
        <w:t xml:space="preserve">– 3 </w:t>
      </w:r>
      <w:r w:rsidRPr="00A71546">
        <w:rPr>
          <w:sz w:val="20"/>
          <w:szCs w:val="20"/>
        </w:rPr>
        <w:t>(0,2%) – через Аппарат Президента Российской Федерации.</w:t>
      </w:r>
    </w:p>
    <w:p w:rsidR="00A71546" w:rsidRPr="00A71546" w:rsidRDefault="00A71546" w:rsidP="00A71546">
      <w:pPr>
        <w:spacing w:after="6"/>
        <w:ind w:firstLine="708"/>
        <w:jc w:val="both"/>
        <w:rPr>
          <w:bCs/>
          <w:color w:val="FF0000"/>
          <w:sz w:val="12"/>
          <w:szCs w:val="12"/>
        </w:rPr>
      </w:pP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 xml:space="preserve">Тематика задаваемых вопросов определена строго по «Типовому общероссийскому тематическому Классификатору обращений граждан». В целом по республике в абсолютных величинах и в процентном выражении от общего количества зарегистрированных заявлений наиболее часто задаваемыми вопросами являются:  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351 (27,7%) –</w:t>
      </w:r>
      <w:r w:rsidRPr="00A71546">
        <w:rPr>
          <w:sz w:val="20"/>
          <w:szCs w:val="20"/>
        </w:rPr>
        <w:t xml:space="preserve"> </w:t>
      </w:r>
      <w:r w:rsidRPr="00A71546">
        <w:rPr>
          <w:sz w:val="20"/>
          <w:szCs w:val="20"/>
        </w:rPr>
        <w:t>Организация работы с налогоплательщиками;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207 (16,4%) – Транспортный налог;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145 (11,5%) – Налог на имущество;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108 (8,5%) – Налог на доходы физических лиц;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91 (7,2%) – Земельный налог;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86 (6,8%) – Актуализация сведений об объектах налогообложения;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67 (5,3%) – Задолженность по налогам и сборам;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50 (4,0%,) – Возврат / зачет излишне уплаченных налогов;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23 (1,8%) – Уклонение от налогообложения;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18 (1,4%) – Учет нал/плат. Получение и отказ от ИНН;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16 (1,3%) – Юридические вопросы по налогам и сборам;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13 (1,0%) – Контроль исполнения налогового законодательства физическими и юридическими лицами;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sz w:val="20"/>
          <w:szCs w:val="20"/>
        </w:rPr>
      </w:pPr>
      <w:r w:rsidRPr="00A71546">
        <w:rPr>
          <w:sz w:val="20"/>
          <w:szCs w:val="20"/>
        </w:rPr>
        <w:t>– 11 (0,9%) – Оказание услуг в электронной форе. Информационные ресурсы;</w:t>
      </w:r>
    </w:p>
    <w:p w:rsidR="00A71546" w:rsidRPr="00A71546" w:rsidRDefault="00A71546" w:rsidP="00A71546">
      <w:pPr>
        <w:tabs>
          <w:tab w:val="left" w:pos="2235"/>
          <w:tab w:val="left" w:pos="4219"/>
        </w:tabs>
        <w:ind w:left="93"/>
        <w:rPr>
          <w:color w:val="000000"/>
          <w:sz w:val="20"/>
          <w:szCs w:val="20"/>
        </w:rPr>
      </w:pPr>
      <w:r w:rsidRPr="00A71546">
        <w:rPr>
          <w:sz w:val="20"/>
          <w:szCs w:val="20"/>
        </w:rPr>
        <w:t>– по 10 (0,8%) – Контроль</w:t>
      </w:r>
      <w:r w:rsidRPr="00A71546">
        <w:rPr>
          <w:color w:val="000000"/>
          <w:sz w:val="20"/>
          <w:szCs w:val="20"/>
        </w:rPr>
        <w:t xml:space="preserve"> и надзор в налоговой сфере;  и Налоговая отчетность.</w:t>
      </w:r>
    </w:p>
    <w:p w:rsidR="00A71546" w:rsidRPr="00A71546" w:rsidRDefault="00A71546" w:rsidP="00A71546">
      <w:pPr>
        <w:spacing w:after="6"/>
        <w:jc w:val="both"/>
      </w:pPr>
      <w:r w:rsidRPr="00A71546">
        <w:t>по остальным категориям процентное соотношение составляет от 0,7% (9) до 0,1% (1) процента.</w:t>
      </w:r>
    </w:p>
    <w:p w:rsidR="00A71546" w:rsidRPr="00A71546" w:rsidRDefault="00A71546" w:rsidP="00A71546">
      <w:pPr>
        <w:spacing w:after="6"/>
        <w:jc w:val="both"/>
        <w:rPr>
          <w:color w:val="FF0000"/>
        </w:rPr>
      </w:pP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>По всем поступившим обращениям граждан специалистами Управления и Инспекций в установленные сроки даны исчерпывающие письменные разъяснения налогового законодательства, а также подготовлены и направлены решения по вопросам восстановления нарушенных прав заявителя актами налоговых органов или действиями (бездействиями) работников налоговых органов.</w:t>
      </w: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>В частности</w:t>
      </w:r>
      <w:r w:rsidRPr="00A71546">
        <w:t>,</w:t>
      </w:r>
      <w:r w:rsidRPr="00A71546">
        <w:t xml:space="preserve"> по 1265-и обращениям и заявлениям физических лиц, поступившим в налоговые органы </w:t>
      </w:r>
      <w:r w:rsidRPr="00A71546">
        <w:t>республики</w:t>
      </w:r>
      <w:r w:rsidRPr="00A71546">
        <w:t xml:space="preserve"> в отчетном периоде: </w:t>
      </w:r>
      <w:r w:rsidRPr="00A71546">
        <w:rPr>
          <w:bCs/>
        </w:rPr>
        <w:t xml:space="preserve">Дано разъяснение </w:t>
      </w:r>
      <w:r w:rsidRPr="00A71546">
        <w:t xml:space="preserve">– 619 (48,9%); </w:t>
      </w:r>
      <w:r w:rsidRPr="00A71546">
        <w:rPr>
          <w:bCs/>
        </w:rPr>
        <w:t xml:space="preserve">Направлено письмо </w:t>
      </w:r>
      <w:r w:rsidRPr="00A71546">
        <w:t xml:space="preserve">– 322 (25,5%); </w:t>
      </w:r>
      <w:r w:rsidRPr="00A71546">
        <w:rPr>
          <w:bCs/>
        </w:rPr>
        <w:t xml:space="preserve">Направлено в другое ведомство </w:t>
      </w:r>
      <w:r w:rsidRPr="00A71546">
        <w:t xml:space="preserve">– 2 (0,2%); </w:t>
      </w:r>
      <w:r w:rsidRPr="00A71546">
        <w:rPr>
          <w:bCs/>
        </w:rPr>
        <w:t xml:space="preserve">Направлено в  другой ТНО </w:t>
      </w:r>
      <w:r w:rsidRPr="00A71546">
        <w:t xml:space="preserve">– 23 (1,8%); </w:t>
      </w:r>
      <w:r w:rsidRPr="00A71546">
        <w:rPr>
          <w:bCs/>
        </w:rPr>
        <w:t xml:space="preserve">Оставлено без рассмотрения </w:t>
      </w:r>
      <w:r w:rsidRPr="00A71546">
        <w:t xml:space="preserve">– 2 (0,2%); </w:t>
      </w:r>
      <w:r w:rsidRPr="00A71546">
        <w:rPr>
          <w:bCs/>
        </w:rPr>
        <w:t xml:space="preserve">Ответ дан другим НО </w:t>
      </w:r>
      <w:r w:rsidRPr="00A71546">
        <w:t xml:space="preserve">– 25 (2,0%); </w:t>
      </w:r>
      <w:r w:rsidRPr="00A71546">
        <w:rPr>
          <w:bCs/>
        </w:rPr>
        <w:t xml:space="preserve">Отказано в удовлетворении </w:t>
      </w:r>
      <w:r w:rsidRPr="00A71546">
        <w:t xml:space="preserve">– 8 (0,6%); </w:t>
      </w:r>
      <w:r w:rsidRPr="00A71546">
        <w:rPr>
          <w:bCs/>
        </w:rPr>
        <w:t xml:space="preserve">Отозвано </w:t>
      </w:r>
      <w:r w:rsidRPr="00A71546">
        <w:t xml:space="preserve">– 5 (0,4%); </w:t>
      </w:r>
      <w:r w:rsidRPr="00A71546">
        <w:rPr>
          <w:bCs/>
        </w:rPr>
        <w:t xml:space="preserve">Переписка прекращена </w:t>
      </w:r>
      <w:r w:rsidRPr="00A71546">
        <w:t xml:space="preserve">– 1 (0,1%); </w:t>
      </w:r>
      <w:r w:rsidRPr="00A71546">
        <w:rPr>
          <w:bCs/>
        </w:rPr>
        <w:t xml:space="preserve">Удовлетворено </w:t>
      </w:r>
      <w:r w:rsidRPr="00A71546">
        <w:t>– 258(20,4%).</w:t>
      </w:r>
    </w:p>
    <w:p w:rsidR="00A71546" w:rsidRPr="00A71546" w:rsidRDefault="00A71546" w:rsidP="00A71546">
      <w:pPr>
        <w:spacing w:after="6"/>
        <w:ind w:firstLine="709"/>
        <w:jc w:val="both"/>
        <w:rPr>
          <w:sz w:val="12"/>
          <w:szCs w:val="12"/>
        </w:rPr>
      </w:pP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 xml:space="preserve">В 3 квартале 2018 года в налоговые органы республики обратилось в </w:t>
      </w:r>
      <w:r w:rsidRPr="00A71546">
        <w:t>о</w:t>
      </w:r>
      <w:r w:rsidRPr="00A71546">
        <w:t xml:space="preserve">перационные залы и принято 38649 граждан, что составляет 90,1% от уровня предшествующего  квартала. Из них лично руководителем Управления и </w:t>
      </w:r>
      <w:r w:rsidRPr="00A71546">
        <w:t>н</w:t>
      </w:r>
      <w:r w:rsidRPr="00A71546">
        <w:t>ачальниками инспекций ФНС России  по  РМ  принято 156 человек. В Консультационный пункт Управления ФНС России по Республике Мордовия за консультацией обратилось 208 человек.</w:t>
      </w: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>В налоговые органы республики поступил и отработан 12181 телефонный звонок-вопрос по «прямым» и «горячим» линиям налоговых органов, что составляет 59,4% аналогичного показателя 2 квартала 2018 года.</w:t>
      </w: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>По территориальной принадлежности заявители проживают в следующих регионах:</w:t>
      </w:r>
    </w:p>
    <w:p w:rsidR="00A71546" w:rsidRPr="00A71546" w:rsidRDefault="00A71546" w:rsidP="00A71546">
      <w:pPr>
        <w:tabs>
          <w:tab w:val="left" w:pos="1243"/>
          <w:tab w:val="left" w:pos="2203"/>
        </w:tabs>
        <w:ind w:left="93"/>
        <w:jc w:val="both"/>
      </w:pPr>
      <w:proofErr w:type="gramStart"/>
      <w:r w:rsidRPr="00A71546">
        <w:t>Дальневосточный ФО</w:t>
      </w:r>
      <w:r w:rsidRPr="00A71546">
        <w:t xml:space="preserve"> </w:t>
      </w:r>
      <w:r w:rsidRPr="00A71546">
        <w:rPr>
          <w:bCs/>
        </w:rPr>
        <w:t xml:space="preserve">– 1 (0,1%); </w:t>
      </w:r>
      <w:r w:rsidRPr="00A71546">
        <w:t xml:space="preserve">Приволжский </w:t>
      </w:r>
      <w:r w:rsidRPr="00A71546">
        <w:t>ФО –</w:t>
      </w:r>
      <w:r w:rsidRPr="00A71546">
        <w:rPr>
          <w:bCs/>
        </w:rPr>
        <w:t xml:space="preserve">1078 (85,8%); </w:t>
      </w:r>
      <w:r w:rsidRPr="00A71546">
        <w:t xml:space="preserve">– в </w:t>
      </w:r>
      <w:r w:rsidRPr="00A71546">
        <w:t>том числе</w:t>
      </w:r>
      <w:r w:rsidRPr="00A71546">
        <w:t xml:space="preserve">  из Республики Мордовия – 1048 (82,8%), в </w:t>
      </w:r>
      <w:r w:rsidRPr="00A71546">
        <w:t>том числе</w:t>
      </w:r>
      <w:r w:rsidRPr="00A71546">
        <w:t xml:space="preserve"> из </w:t>
      </w:r>
      <w:r w:rsidRPr="00A71546">
        <w:t>г/о</w:t>
      </w:r>
      <w:r w:rsidRPr="00A71546">
        <w:t xml:space="preserve"> Саранск – 594 (47%); </w:t>
      </w:r>
      <w:r w:rsidRPr="00A71546">
        <w:t xml:space="preserve">Северо-Западный </w:t>
      </w:r>
      <w:r w:rsidRPr="00A71546">
        <w:t xml:space="preserve">ФО – </w:t>
      </w:r>
      <w:r w:rsidRPr="00A71546">
        <w:rPr>
          <w:bCs/>
        </w:rPr>
        <w:t xml:space="preserve">5 (0,4%); </w:t>
      </w:r>
      <w:r w:rsidRPr="00A71546">
        <w:t>С</w:t>
      </w:r>
      <w:r w:rsidRPr="00A71546">
        <w:t xml:space="preserve">ибирский </w:t>
      </w:r>
      <w:r w:rsidRPr="00A71546">
        <w:t xml:space="preserve">ФО – </w:t>
      </w:r>
      <w:r w:rsidRPr="00A71546">
        <w:rPr>
          <w:bCs/>
        </w:rPr>
        <w:t xml:space="preserve">5 (0,4%); </w:t>
      </w:r>
      <w:r w:rsidRPr="00A71546">
        <w:t>У</w:t>
      </w:r>
      <w:r w:rsidRPr="00A71546">
        <w:t xml:space="preserve">ральский </w:t>
      </w:r>
      <w:r w:rsidRPr="00A71546">
        <w:t xml:space="preserve">ФО – </w:t>
      </w:r>
      <w:r w:rsidRPr="00A71546">
        <w:rPr>
          <w:bCs/>
        </w:rPr>
        <w:t xml:space="preserve">9 (0,7%); </w:t>
      </w:r>
      <w:r w:rsidRPr="00A71546">
        <w:t>Ц</w:t>
      </w:r>
      <w:r w:rsidRPr="00A71546">
        <w:t xml:space="preserve">ентральный </w:t>
      </w:r>
      <w:r w:rsidRPr="00A71546">
        <w:t xml:space="preserve">ФО – </w:t>
      </w:r>
      <w:r w:rsidRPr="00A71546">
        <w:rPr>
          <w:bCs/>
        </w:rPr>
        <w:t xml:space="preserve">100 (8,0%); </w:t>
      </w:r>
      <w:r w:rsidRPr="00A71546">
        <w:t xml:space="preserve">в </w:t>
      </w:r>
      <w:r w:rsidRPr="00A71546">
        <w:t>том числе</w:t>
      </w:r>
      <w:r w:rsidRPr="00A71546">
        <w:t xml:space="preserve"> из г.</w:t>
      </w:r>
      <w:r w:rsidRPr="00A71546">
        <w:t xml:space="preserve"> </w:t>
      </w:r>
      <w:r w:rsidRPr="00A71546">
        <w:t>Москвы – 50 (4,0%);  и Московской области – 42 (3,3%);</w:t>
      </w:r>
      <w:proofErr w:type="gramEnd"/>
      <w:r w:rsidRPr="00A71546">
        <w:t xml:space="preserve"> Ю</w:t>
      </w:r>
      <w:r w:rsidRPr="00A71546">
        <w:t xml:space="preserve">жный </w:t>
      </w:r>
      <w:r w:rsidRPr="00A71546">
        <w:t>ФО –</w:t>
      </w:r>
      <w:r w:rsidRPr="00A71546">
        <w:rPr>
          <w:bCs/>
        </w:rPr>
        <w:t xml:space="preserve"> 9 (0,7</w:t>
      </w:r>
      <w:r w:rsidRPr="00A71546">
        <w:t>%).</w:t>
      </w: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 xml:space="preserve">В </w:t>
      </w:r>
      <w:r w:rsidRPr="00A71546">
        <w:t>третьем</w:t>
      </w:r>
      <w:r w:rsidRPr="00A71546">
        <w:t xml:space="preserve"> квартале в налоговые органы республики поступило и рассмотрено 147 обращений юридических лиц, что в 1,7 раза больше предшествующего квартала (88). Через сервис Сайта ФНС России «Обратиться в ФНС России» поступило 22 </w:t>
      </w:r>
      <w:proofErr w:type="gramStart"/>
      <w:r w:rsidRPr="00A71546">
        <w:t>Интернет-обращения</w:t>
      </w:r>
      <w:proofErr w:type="gramEnd"/>
      <w:r w:rsidRPr="00A71546">
        <w:t>; через сервис «Личный кабинет налогоплательщика юридического лица» – поступило 76 обращени</w:t>
      </w:r>
      <w:r w:rsidRPr="00A71546">
        <w:t>й</w:t>
      </w:r>
      <w:r w:rsidRPr="00A71546">
        <w:t xml:space="preserve">, что в целом составляет 75,9% – принятых по электронным каналам связи от общего количества поступивших обращений юридических лиц за отчетный период. </w:t>
      </w: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 xml:space="preserve">Результативность ответов по обращениям юридических лиц составляет: Дано разъяснение – 76 (50,7%); Направлено письмо – 36 (24,5%); Отказано в удовлетворении – 18 (12%); Удовлетворено (в </w:t>
      </w:r>
      <w:proofErr w:type="spellStart"/>
      <w:r w:rsidRPr="00A71546">
        <w:t>т.ч</w:t>
      </w:r>
      <w:proofErr w:type="spellEnd"/>
      <w:r w:rsidRPr="00A71546">
        <w:t xml:space="preserve">. частично) – 16 (10,8%); Отозвано заявителями – 1 (0,7%). </w:t>
      </w:r>
    </w:p>
    <w:p w:rsidR="00A71546" w:rsidRPr="00A71546" w:rsidRDefault="00A71546" w:rsidP="00A71546">
      <w:pPr>
        <w:spacing w:after="6"/>
        <w:jc w:val="both"/>
        <w:rPr>
          <w:color w:val="FF0000"/>
          <w:sz w:val="12"/>
          <w:szCs w:val="12"/>
        </w:rPr>
      </w:pPr>
    </w:p>
    <w:p w:rsidR="00A71546" w:rsidRPr="00A71546" w:rsidRDefault="00A71546" w:rsidP="00A71546">
      <w:pPr>
        <w:spacing w:after="6"/>
        <w:ind w:firstLine="709"/>
        <w:jc w:val="both"/>
      </w:pPr>
      <w:r w:rsidRPr="00A71546">
        <w:t xml:space="preserve">Непосредственно в Управление Федеральной налоговой службы по Республике Мордовия за отчетный период, поступило на рассмотрение и зарегистрировано в </w:t>
      </w:r>
      <w:r w:rsidRPr="00A71546">
        <w:t>базе данных</w:t>
      </w:r>
      <w:r w:rsidRPr="00A71546">
        <w:t xml:space="preserve"> «Заявления граждан» 113 обращений граждан, что составляет  84,3% от количества поступивших в 3 квартале 2018 года. </w:t>
      </w:r>
    </w:p>
    <w:p w:rsidR="00A71546" w:rsidRPr="00A71546" w:rsidRDefault="00A71546" w:rsidP="00A71546">
      <w:pPr>
        <w:spacing w:after="6"/>
        <w:ind w:firstLine="708"/>
        <w:jc w:val="both"/>
      </w:pPr>
      <w:r w:rsidRPr="00A71546">
        <w:t xml:space="preserve">Обращения поступили, в </w:t>
      </w:r>
      <w:proofErr w:type="spellStart"/>
      <w:r w:rsidRPr="00A71546">
        <w:t>т.ч</w:t>
      </w:r>
      <w:proofErr w:type="spellEnd"/>
      <w:r w:rsidRPr="00A71546">
        <w:t xml:space="preserve">.: </w:t>
      </w:r>
    </w:p>
    <w:p w:rsidR="00A71546" w:rsidRPr="00A71546" w:rsidRDefault="00A71546" w:rsidP="00A71546">
      <w:pPr>
        <w:tabs>
          <w:tab w:val="left" w:pos="2235"/>
          <w:tab w:val="left" w:pos="4470"/>
        </w:tabs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24 </w:t>
      </w:r>
      <w:r w:rsidRPr="00A71546">
        <w:rPr>
          <w:sz w:val="20"/>
          <w:szCs w:val="20"/>
        </w:rPr>
        <w:t xml:space="preserve">(21,2%) – </w:t>
      </w:r>
      <w:r w:rsidRPr="00A71546">
        <w:rPr>
          <w:sz w:val="20"/>
          <w:szCs w:val="20"/>
        </w:rPr>
        <w:t>через сайт ФНС России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2235"/>
          <w:tab w:val="left" w:pos="4470"/>
        </w:tabs>
        <w:ind w:right="-108"/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15 </w:t>
      </w:r>
      <w:r w:rsidRPr="00A71546">
        <w:rPr>
          <w:sz w:val="20"/>
          <w:szCs w:val="20"/>
        </w:rPr>
        <w:t>(13,3%) – через Личный кабинет Налогоплательщика;</w:t>
      </w:r>
    </w:p>
    <w:p w:rsidR="00A71546" w:rsidRPr="00A71546" w:rsidRDefault="00A71546" w:rsidP="00A71546">
      <w:pPr>
        <w:tabs>
          <w:tab w:val="left" w:pos="2235"/>
          <w:tab w:val="left" w:pos="4470"/>
        </w:tabs>
        <w:ind w:right="-108"/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4 </w:t>
      </w:r>
      <w:r w:rsidRPr="00A71546">
        <w:rPr>
          <w:sz w:val="20"/>
          <w:szCs w:val="20"/>
        </w:rPr>
        <w:t>(3,5%) – через  Личный кабинет Налогоплательщика</w:t>
      </w:r>
      <w:proofErr w:type="gramStart"/>
      <w:r w:rsidRPr="00A71546">
        <w:rPr>
          <w:sz w:val="20"/>
          <w:szCs w:val="20"/>
        </w:rPr>
        <w:t>;;</w:t>
      </w:r>
      <w:proofErr w:type="gramEnd"/>
    </w:p>
    <w:p w:rsidR="00A71546" w:rsidRPr="00A71546" w:rsidRDefault="00A71546" w:rsidP="00A71546">
      <w:pPr>
        <w:tabs>
          <w:tab w:val="left" w:pos="2235"/>
          <w:tab w:val="left" w:pos="4470"/>
        </w:tabs>
        <w:ind w:right="-108"/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1 </w:t>
      </w:r>
      <w:r w:rsidRPr="00A71546">
        <w:rPr>
          <w:sz w:val="20"/>
          <w:szCs w:val="20"/>
        </w:rPr>
        <w:t xml:space="preserve">(0,9%) – </w:t>
      </w:r>
      <w:r w:rsidRPr="00A71546">
        <w:rPr>
          <w:sz w:val="20"/>
          <w:szCs w:val="20"/>
          <w:lang w:val="en-US"/>
        </w:rPr>
        <w:t>GOSUSLUGI</w:t>
      </w:r>
      <w:r w:rsidRPr="00A71546">
        <w:rPr>
          <w:sz w:val="20"/>
          <w:szCs w:val="20"/>
        </w:rPr>
        <w:t>.</w:t>
      </w:r>
      <w:r w:rsidRPr="00A71546">
        <w:rPr>
          <w:sz w:val="20"/>
          <w:szCs w:val="20"/>
          <w:lang w:val="en-US"/>
        </w:rPr>
        <w:t>RU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2235"/>
          <w:tab w:val="left" w:pos="4470"/>
        </w:tabs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18 </w:t>
      </w:r>
      <w:r w:rsidRPr="00A71546">
        <w:rPr>
          <w:sz w:val="20"/>
          <w:szCs w:val="20"/>
        </w:rPr>
        <w:t>(15,9%) – через ФНС России;</w:t>
      </w:r>
    </w:p>
    <w:p w:rsidR="00A71546" w:rsidRPr="00A71546" w:rsidRDefault="00A71546" w:rsidP="00A71546">
      <w:pPr>
        <w:tabs>
          <w:tab w:val="left" w:pos="2235"/>
          <w:tab w:val="left" w:pos="4470"/>
        </w:tabs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9 </w:t>
      </w:r>
      <w:r w:rsidRPr="00A71546">
        <w:rPr>
          <w:sz w:val="20"/>
          <w:szCs w:val="20"/>
        </w:rPr>
        <w:t xml:space="preserve">(8,0%) – через другой </w:t>
      </w:r>
      <w:r w:rsidRPr="00A71546">
        <w:rPr>
          <w:sz w:val="20"/>
          <w:szCs w:val="20"/>
        </w:rPr>
        <w:t>территориальный налоговый орган</w:t>
      </w:r>
      <w:r w:rsidRPr="00A71546">
        <w:rPr>
          <w:sz w:val="20"/>
          <w:szCs w:val="20"/>
        </w:rPr>
        <w:t>;</w:t>
      </w:r>
    </w:p>
    <w:p w:rsidR="00A71546" w:rsidRPr="00A71546" w:rsidRDefault="00A71546" w:rsidP="00A71546">
      <w:pPr>
        <w:tabs>
          <w:tab w:val="left" w:pos="2235"/>
          <w:tab w:val="left" w:pos="4470"/>
        </w:tabs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16 </w:t>
      </w:r>
      <w:r w:rsidRPr="00A71546">
        <w:rPr>
          <w:sz w:val="20"/>
          <w:szCs w:val="20"/>
        </w:rPr>
        <w:t>(14,2%) – от  третьего лица;</w:t>
      </w:r>
    </w:p>
    <w:p w:rsidR="00A71546" w:rsidRPr="00A71546" w:rsidRDefault="00A71546" w:rsidP="00A71546">
      <w:pPr>
        <w:tabs>
          <w:tab w:val="left" w:pos="2235"/>
          <w:tab w:val="left" w:pos="4470"/>
        </w:tabs>
        <w:ind w:right="-108"/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 xml:space="preserve">– 3 </w:t>
      </w:r>
      <w:r w:rsidRPr="00A71546">
        <w:rPr>
          <w:sz w:val="20"/>
          <w:szCs w:val="20"/>
        </w:rPr>
        <w:t>(2,7%)  – Аппарат Президента РФ;</w:t>
      </w:r>
    </w:p>
    <w:p w:rsidR="00A71546" w:rsidRPr="00A71546" w:rsidRDefault="00A71546" w:rsidP="00A71546">
      <w:pPr>
        <w:tabs>
          <w:tab w:val="left" w:pos="2235"/>
          <w:tab w:val="left" w:pos="4470"/>
        </w:tabs>
        <w:ind w:right="-108"/>
        <w:rPr>
          <w:sz w:val="20"/>
          <w:szCs w:val="20"/>
        </w:rPr>
      </w:pPr>
      <w:r w:rsidRPr="00A71546">
        <w:rPr>
          <w:bCs/>
          <w:iCs/>
          <w:sz w:val="20"/>
          <w:szCs w:val="20"/>
        </w:rPr>
        <w:t>– 23</w:t>
      </w:r>
      <w:r w:rsidRPr="00A71546">
        <w:rPr>
          <w:sz w:val="20"/>
          <w:szCs w:val="20"/>
        </w:rPr>
        <w:t>(20,4%)– лично (почтой), на бумаге.</w:t>
      </w:r>
    </w:p>
    <w:p w:rsidR="00A71546" w:rsidRPr="00A71546" w:rsidRDefault="00A71546" w:rsidP="00A71546">
      <w:pPr>
        <w:spacing w:after="6"/>
        <w:ind w:firstLine="708"/>
        <w:jc w:val="both"/>
        <w:rPr>
          <w:sz w:val="12"/>
          <w:szCs w:val="12"/>
        </w:rPr>
      </w:pPr>
    </w:p>
    <w:p w:rsidR="00A71546" w:rsidRPr="00A71546" w:rsidRDefault="00A71546" w:rsidP="00A71546">
      <w:pPr>
        <w:spacing w:after="6"/>
        <w:ind w:firstLine="708"/>
        <w:jc w:val="both"/>
      </w:pPr>
      <w:r w:rsidRPr="00A71546">
        <w:t>Тематика задаваемых вопросов определена строго по «Типовому общероссийскому тематическому Классификатору обращений граждан». В процентном выражении от общего количества зарегистрированных заявлений составляет:</w:t>
      </w:r>
    </w:p>
    <w:p w:rsidR="00A71546" w:rsidRPr="00A71546" w:rsidRDefault="00A71546" w:rsidP="00A71546">
      <w:pPr>
        <w:tabs>
          <w:tab w:val="left" w:pos="1951"/>
          <w:tab w:val="left" w:pos="3510"/>
        </w:tabs>
        <w:ind w:left="93"/>
        <w:rPr>
          <w:color w:val="000000"/>
          <w:sz w:val="20"/>
          <w:szCs w:val="20"/>
        </w:rPr>
      </w:pPr>
      <w:r w:rsidRPr="00A71546">
        <w:rPr>
          <w:bCs/>
          <w:color w:val="000000"/>
          <w:sz w:val="20"/>
          <w:szCs w:val="20"/>
        </w:rPr>
        <w:t>– 21 (18,6%) – Уклонение от налогообложения;</w:t>
      </w:r>
    </w:p>
    <w:p w:rsidR="00A71546" w:rsidRPr="00A71546" w:rsidRDefault="00A71546" w:rsidP="00A71546">
      <w:pPr>
        <w:tabs>
          <w:tab w:val="left" w:pos="1951"/>
          <w:tab w:val="left" w:pos="3510"/>
        </w:tabs>
        <w:ind w:left="93"/>
        <w:rPr>
          <w:color w:val="000000"/>
          <w:sz w:val="20"/>
          <w:szCs w:val="20"/>
        </w:rPr>
      </w:pPr>
      <w:r w:rsidRPr="00A71546">
        <w:rPr>
          <w:bCs/>
          <w:color w:val="000000"/>
          <w:sz w:val="20"/>
          <w:szCs w:val="20"/>
        </w:rPr>
        <w:t>– 15 (13,3%) – Налог на доходы физических лиц;</w:t>
      </w:r>
    </w:p>
    <w:p w:rsidR="00A71546" w:rsidRPr="00A71546" w:rsidRDefault="00A71546" w:rsidP="00A71546">
      <w:pPr>
        <w:tabs>
          <w:tab w:val="left" w:pos="1951"/>
          <w:tab w:val="left" w:pos="3510"/>
        </w:tabs>
        <w:ind w:left="93"/>
        <w:rPr>
          <w:color w:val="000000"/>
          <w:sz w:val="20"/>
          <w:szCs w:val="20"/>
        </w:rPr>
      </w:pPr>
      <w:r w:rsidRPr="00A71546">
        <w:rPr>
          <w:bCs/>
          <w:color w:val="000000"/>
          <w:sz w:val="20"/>
          <w:szCs w:val="20"/>
        </w:rPr>
        <w:t>– 14 (12,4%) – Задолженность по налогам, сборам и взносам в бюджеты государственных внебюджетных фондов;</w:t>
      </w:r>
    </w:p>
    <w:p w:rsidR="00A71546" w:rsidRPr="00A71546" w:rsidRDefault="00A71546" w:rsidP="00A71546">
      <w:pPr>
        <w:tabs>
          <w:tab w:val="left" w:pos="1951"/>
          <w:tab w:val="left" w:pos="3510"/>
        </w:tabs>
        <w:ind w:left="93"/>
        <w:rPr>
          <w:color w:val="000000"/>
          <w:sz w:val="20"/>
          <w:szCs w:val="20"/>
        </w:rPr>
      </w:pPr>
      <w:r w:rsidRPr="00A71546">
        <w:rPr>
          <w:bCs/>
          <w:color w:val="000000"/>
          <w:sz w:val="20"/>
          <w:szCs w:val="20"/>
        </w:rPr>
        <w:t>– по 9 (8%) – Транспортный налог; Учет налогоплательщиков. Получение и отказ от ИНН;</w:t>
      </w:r>
    </w:p>
    <w:p w:rsidR="00A71546" w:rsidRPr="00A71546" w:rsidRDefault="00A71546" w:rsidP="00A71546">
      <w:pPr>
        <w:tabs>
          <w:tab w:val="left" w:pos="1951"/>
          <w:tab w:val="left" w:pos="3510"/>
        </w:tabs>
        <w:ind w:left="93"/>
        <w:rPr>
          <w:color w:val="000000"/>
          <w:sz w:val="20"/>
          <w:szCs w:val="20"/>
        </w:rPr>
      </w:pPr>
      <w:r w:rsidRPr="00A71546">
        <w:rPr>
          <w:bCs/>
          <w:color w:val="000000"/>
          <w:sz w:val="20"/>
          <w:szCs w:val="20"/>
        </w:rPr>
        <w:t>– 6 (5,3%) – Налогообложение малого бизнеса, специальных налоговых режимов; Регистрация физических лиц в качестве индивидуальных предпринимателей;</w:t>
      </w:r>
    </w:p>
    <w:p w:rsidR="00A71546" w:rsidRPr="00A71546" w:rsidRDefault="00A71546" w:rsidP="00A71546">
      <w:pPr>
        <w:tabs>
          <w:tab w:val="left" w:pos="1951"/>
          <w:tab w:val="left" w:pos="3510"/>
        </w:tabs>
        <w:ind w:left="93"/>
        <w:rPr>
          <w:color w:val="000000"/>
          <w:sz w:val="20"/>
          <w:szCs w:val="20"/>
        </w:rPr>
      </w:pPr>
      <w:r w:rsidRPr="00A71546">
        <w:rPr>
          <w:bCs/>
          <w:color w:val="000000"/>
          <w:sz w:val="20"/>
          <w:szCs w:val="20"/>
        </w:rPr>
        <w:t>– 5 (4,4%) – Земельный налог;</w:t>
      </w:r>
    </w:p>
    <w:p w:rsidR="00A71546" w:rsidRPr="00A71546" w:rsidRDefault="00A71546" w:rsidP="00A71546">
      <w:pPr>
        <w:tabs>
          <w:tab w:val="left" w:pos="1951"/>
          <w:tab w:val="left" w:pos="3510"/>
        </w:tabs>
        <w:ind w:left="93"/>
        <w:rPr>
          <w:color w:val="000000"/>
          <w:sz w:val="20"/>
          <w:szCs w:val="20"/>
        </w:rPr>
      </w:pPr>
      <w:r w:rsidRPr="00A71546">
        <w:rPr>
          <w:bCs/>
          <w:color w:val="000000"/>
          <w:sz w:val="20"/>
          <w:szCs w:val="20"/>
        </w:rPr>
        <w:t>– по 4 (3,5%) – Налог на имущество; Контроль исполнения налогового законодательства.</w:t>
      </w:r>
    </w:p>
    <w:p w:rsidR="00A71546" w:rsidRPr="00A71546" w:rsidRDefault="00A71546" w:rsidP="00A71546">
      <w:pPr>
        <w:spacing w:after="6"/>
        <w:ind w:firstLine="708"/>
        <w:jc w:val="both"/>
      </w:pPr>
      <w:r w:rsidRPr="00A71546">
        <w:t>По остальным категориям процентное соотношение составляет от 0,9% (1) до 1,8% (2)</w:t>
      </w:r>
    </w:p>
    <w:p w:rsidR="00A71546" w:rsidRPr="00A71546" w:rsidRDefault="00A71546" w:rsidP="00A71546">
      <w:pPr>
        <w:spacing w:after="6"/>
        <w:ind w:firstLine="708"/>
        <w:jc w:val="both"/>
      </w:pPr>
      <w:r w:rsidRPr="00A71546">
        <w:lastRenderedPageBreak/>
        <w:t xml:space="preserve">В анализируемом периоде в Управление поступило 10 повторных обращений. Три обращения отозваны заявителями. Срок исполнения продлевался по 1 обращению. Из других </w:t>
      </w:r>
      <w:r w:rsidRPr="00A71546">
        <w:t>территориальных налоговых органов</w:t>
      </w:r>
      <w:r w:rsidRPr="00A71546">
        <w:t xml:space="preserve"> поступило для исполнения по принадлежности 25 обращений. </w:t>
      </w:r>
      <w:proofErr w:type="gramStart"/>
      <w:r w:rsidRPr="00A71546">
        <w:t xml:space="preserve">В иной </w:t>
      </w:r>
      <w:r w:rsidRPr="00A71546">
        <w:t>территориальный налоговый орган</w:t>
      </w:r>
      <w:r w:rsidRPr="00A71546">
        <w:t xml:space="preserve"> по территориальной принадлежности для подготовки ответа на поставленные заявителем вопросы по компетенции</w:t>
      </w:r>
      <w:proofErr w:type="gramEnd"/>
      <w:r w:rsidRPr="00A71546">
        <w:t xml:space="preserve"> перенаправлено 3 обращения. Одно обращение перенаправлено и иной орган по компетенции. На одно (тестовое) обращение срок исполнения не накладывался. Одному обращению присвоен параметр – </w:t>
      </w:r>
      <w:r w:rsidRPr="00A71546">
        <w:t>«</w:t>
      </w:r>
      <w:r w:rsidRPr="00A71546">
        <w:t>Особая важность</w:t>
      </w:r>
      <w:r w:rsidRPr="00A71546">
        <w:t>»</w:t>
      </w:r>
      <w:r w:rsidRPr="00A71546">
        <w:t>. Обращения-запросы пользователей информации в соответствии с законом от 09.02.2009 №8-ФЗ в УФНС по РМ  в 2018 году не поступали.</w:t>
      </w:r>
    </w:p>
    <w:p w:rsidR="00A71546" w:rsidRPr="00A71546" w:rsidRDefault="00A71546" w:rsidP="00A71546">
      <w:pPr>
        <w:spacing w:after="6"/>
        <w:jc w:val="both"/>
        <w:rPr>
          <w:color w:val="FF0000"/>
          <w:sz w:val="12"/>
          <w:szCs w:val="12"/>
        </w:rPr>
      </w:pPr>
      <w:r w:rsidRPr="00A71546">
        <w:rPr>
          <w:color w:val="FF0000"/>
        </w:rPr>
        <w:tab/>
      </w:r>
    </w:p>
    <w:p w:rsidR="00A71546" w:rsidRPr="00A71546" w:rsidRDefault="00A71546" w:rsidP="00A71546">
      <w:pPr>
        <w:spacing w:after="6"/>
        <w:ind w:firstLine="708"/>
        <w:jc w:val="both"/>
      </w:pPr>
      <w:r w:rsidRPr="00A71546">
        <w:t xml:space="preserve">В 3 квартале на личном приеме у </w:t>
      </w:r>
      <w:r w:rsidRPr="00A71546">
        <w:t>р</w:t>
      </w:r>
      <w:r w:rsidRPr="00A71546">
        <w:t xml:space="preserve">уководителя Управления и </w:t>
      </w:r>
      <w:r w:rsidRPr="00A71546">
        <w:t>н</w:t>
      </w:r>
      <w:r w:rsidRPr="00A71546">
        <w:t>ачальников Инспекций по Республике Мордовия было принято 183 заявителя – физических  лица. При этом по вопросу трудоустройства обратилось 57 заявител</w:t>
      </w:r>
      <w:r w:rsidRPr="00A71546">
        <w:t>ей</w:t>
      </w:r>
      <w:r w:rsidRPr="00A71546">
        <w:t xml:space="preserve"> (31,2%), 14 из них приняты в штат налоговых органов республики. На личном приеме у руководителя УФНС России по Республике Мордовия принято 27 граждан.</w:t>
      </w:r>
    </w:p>
    <w:p w:rsidR="00C63C2A" w:rsidRPr="00A71546" w:rsidRDefault="00A71546" w:rsidP="00A71546">
      <w:r w:rsidRPr="00A71546">
        <w:t xml:space="preserve">По результатам приема, ответы на устные обращения граждан подразделяются по следующим категориям: </w:t>
      </w:r>
      <w:r w:rsidRPr="00A71546">
        <w:rPr>
          <w:bCs/>
        </w:rPr>
        <w:t>«</w:t>
      </w:r>
      <w:r w:rsidRPr="00A71546">
        <w:rPr>
          <w:bCs/>
        </w:rPr>
        <w:t>Удовлетворено</w:t>
      </w:r>
      <w:r w:rsidRPr="00A71546">
        <w:rPr>
          <w:bCs/>
        </w:rPr>
        <w:t>», доводы заявителя признаны законными – 20 (10,9%); «</w:t>
      </w:r>
      <w:r w:rsidRPr="00A71546">
        <w:rPr>
          <w:bCs/>
        </w:rPr>
        <w:t>Отклонено</w:t>
      </w:r>
      <w:r w:rsidRPr="00A71546">
        <w:rPr>
          <w:bCs/>
        </w:rPr>
        <w:t>», сигналы не подтвердились – 0; «</w:t>
      </w:r>
      <w:r w:rsidRPr="00A71546">
        <w:rPr>
          <w:bCs/>
        </w:rPr>
        <w:t>Дано разъяснение</w:t>
      </w:r>
      <w:r w:rsidRPr="00A71546">
        <w:rPr>
          <w:bCs/>
        </w:rPr>
        <w:t>» – 163 (89,1%).</w:t>
      </w:r>
    </w:p>
    <w:sectPr w:rsidR="00C63C2A" w:rsidRPr="00A71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546"/>
    <w:rsid w:val="005F1D09"/>
    <w:rsid w:val="008E5C8B"/>
    <w:rsid w:val="00A71546"/>
    <w:rsid w:val="00C6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15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715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15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2018-12-10T11:01:00Z</dcterms:created>
  <dcterms:modified xsi:type="dcterms:W3CDTF">2018-12-10T11:04:00Z</dcterms:modified>
</cp:coreProperties>
</file>