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39" w:rsidRPr="00A22685" w:rsidRDefault="00EE1D39" w:rsidP="00EE1D39">
      <w:pPr>
        <w:autoSpaceDE w:val="0"/>
        <w:autoSpaceDN w:val="0"/>
        <w:adjustRightInd w:val="0"/>
        <w:spacing w:after="0" w:line="240" w:lineRule="auto"/>
        <w:ind w:firstLine="540"/>
        <w:jc w:val="both"/>
        <w:outlineLvl w:val="0"/>
        <w:rPr>
          <w:rFonts w:ascii="Times New Roman" w:hAnsi="Times New Roman"/>
          <w:sz w:val="28"/>
          <w:szCs w:val="28"/>
          <w:lang w:eastAsia="ru-RU"/>
        </w:rPr>
      </w:pPr>
      <w:r w:rsidRPr="00A22685">
        <w:rPr>
          <w:rFonts w:ascii="Times New Roman" w:hAnsi="Times New Roman"/>
          <w:b/>
          <w:bCs/>
          <w:sz w:val="28"/>
          <w:szCs w:val="28"/>
          <w:lang w:eastAsia="ru-RU"/>
        </w:rPr>
        <w:t xml:space="preserve">Обозначенная тематика сегодняшнего выступления это </w:t>
      </w:r>
      <w:r w:rsidRPr="00A22685">
        <w:rPr>
          <w:rFonts w:ascii="Times New Roman" w:hAnsi="Times New Roman"/>
          <w:sz w:val="28"/>
          <w:szCs w:val="28"/>
        </w:rPr>
        <w:t xml:space="preserve">Вопросы применения положений </w:t>
      </w:r>
      <w:r w:rsidRPr="00A22685">
        <w:rPr>
          <w:rFonts w:ascii="Times New Roman" w:hAnsi="Times New Roman"/>
          <w:sz w:val="28"/>
          <w:szCs w:val="28"/>
          <w:lang w:eastAsia="ru-RU"/>
        </w:rPr>
        <w:t xml:space="preserve">Федерального закона от 18 июля 2017 N 163-ФЗ "О внесении изменений в часть первую Налогового кодекса Российской Федерации". </w:t>
      </w:r>
    </w:p>
    <w:p w:rsidR="00EE1D39" w:rsidRPr="00A22685" w:rsidRDefault="00EE1D39" w:rsidP="00EE1D39">
      <w:pPr>
        <w:autoSpaceDE w:val="0"/>
        <w:autoSpaceDN w:val="0"/>
        <w:adjustRightInd w:val="0"/>
        <w:spacing w:after="0" w:line="240" w:lineRule="auto"/>
        <w:ind w:firstLine="540"/>
        <w:jc w:val="both"/>
        <w:outlineLvl w:val="0"/>
        <w:rPr>
          <w:rFonts w:ascii="Times New Roman" w:hAnsi="Times New Roman"/>
          <w:b/>
          <w:sz w:val="28"/>
          <w:szCs w:val="28"/>
          <w:lang w:eastAsia="ru-RU"/>
        </w:rPr>
      </w:pPr>
      <w:r w:rsidRPr="00A22685">
        <w:rPr>
          <w:rFonts w:ascii="Times New Roman" w:hAnsi="Times New Roman"/>
          <w:sz w:val="28"/>
          <w:szCs w:val="28"/>
          <w:lang w:eastAsia="ru-RU"/>
        </w:rPr>
        <w:t xml:space="preserve">Названным законом в Налоговый кодекс Российской Федерации введена новая статья 54.1, регулирующая порядок оценки налоговыми органами деятельности (или хозяйственных операций), осуществляемых недобросовестными налогоплательщиками, в своем стремлении к  получению налоговых преференций, т.е. искусственно занижающих налоговую базу по различным налогам. </w:t>
      </w:r>
      <w:proofErr w:type="gramStart"/>
      <w:r w:rsidRPr="00A22685">
        <w:rPr>
          <w:rFonts w:ascii="Times New Roman" w:hAnsi="Times New Roman"/>
          <w:sz w:val="28"/>
          <w:szCs w:val="28"/>
          <w:lang w:eastAsia="ru-RU"/>
        </w:rPr>
        <w:t xml:space="preserve">Образно говоря, нововведения касаются «недобросовестной», «неосмотрительной», или необоснованной налоговой выгоды, получаемой налогоплательщиками с использованием различных «схем», с помощью </w:t>
      </w:r>
      <w:r w:rsidRPr="00A22685">
        <w:rPr>
          <w:rFonts w:ascii="Times New Roman" w:hAnsi="Times New Roman"/>
          <w:b/>
          <w:sz w:val="28"/>
          <w:szCs w:val="28"/>
          <w:lang w:eastAsia="ru-RU"/>
        </w:rPr>
        <w:t>«подставных»</w:t>
      </w:r>
      <w:r w:rsidRPr="00A22685">
        <w:rPr>
          <w:rFonts w:ascii="Times New Roman" w:hAnsi="Times New Roman"/>
          <w:sz w:val="28"/>
          <w:szCs w:val="28"/>
          <w:lang w:eastAsia="ru-RU"/>
        </w:rPr>
        <w:t xml:space="preserve"> организаций, фирм </w:t>
      </w:r>
      <w:r w:rsidRPr="00A22685">
        <w:rPr>
          <w:rFonts w:ascii="Times New Roman" w:hAnsi="Times New Roman"/>
          <w:b/>
          <w:sz w:val="28"/>
          <w:szCs w:val="28"/>
          <w:lang w:eastAsia="ru-RU"/>
        </w:rPr>
        <w:t>«однодневок»</w:t>
      </w:r>
      <w:r w:rsidRPr="00A22685">
        <w:rPr>
          <w:rFonts w:ascii="Times New Roman" w:hAnsi="Times New Roman"/>
          <w:sz w:val="28"/>
          <w:szCs w:val="28"/>
          <w:lang w:eastAsia="ru-RU"/>
        </w:rPr>
        <w:t xml:space="preserve">, с помощью заключения фиктивных сделок, и так далее, с целью получения </w:t>
      </w:r>
      <w:r w:rsidRPr="00A22685">
        <w:rPr>
          <w:rFonts w:ascii="Times New Roman" w:hAnsi="Times New Roman"/>
          <w:b/>
          <w:sz w:val="28"/>
          <w:szCs w:val="28"/>
          <w:lang w:eastAsia="ru-RU"/>
        </w:rPr>
        <w:t>вычетов по НДС</w:t>
      </w:r>
      <w:r w:rsidRPr="00A22685">
        <w:rPr>
          <w:rFonts w:ascii="Times New Roman" w:hAnsi="Times New Roman"/>
          <w:sz w:val="28"/>
          <w:szCs w:val="28"/>
          <w:lang w:eastAsia="ru-RU"/>
        </w:rPr>
        <w:t xml:space="preserve">, или </w:t>
      </w:r>
      <w:r w:rsidRPr="00A22685">
        <w:rPr>
          <w:rFonts w:ascii="Times New Roman" w:hAnsi="Times New Roman"/>
          <w:b/>
          <w:sz w:val="28"/>
          <w:szCs w:val="28"/>
          <w:lang w:eastAsia="ru-RU"/>
        </w:rPr>
        <w:t>уменьшения налогооблагаемой прибыли.</w:t>
      </w:r>
      <w:proofErr w:type="gramEnd"/>
    </w:p>
    <w:p w:rsidR="00EE1D39" w:rsidRPr="00A22685" w:rsidRDefault="00EE1D39" w:rsidP="00EE1D39">
      <w:pPr>
        <w:autoSpaceDE w:val="0"/>
        <w:autoSpaceDN w:val="0"/>
        <w:adjustRightInd w:val="0"/>
        <w:spacing w:after="0" w:line="240" w:lineRule="auto"/>
        <w:ind w:firstLine="540"/>
        <w:jc w:val="both"/>
        <w:rPr>
          <w:rFonts w:ascii="Times New Roman" w:hAnsi="Times New Roman"/>
          <w:b/>
          <w:sz w:val="28"/>
          <w:szCs w:val="28"/>
          <w:lang w:eastAsia="ru-RU"/>
        </w:rPr>
      </w:pP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sz w:val="28"/>
          <w:szCs w:val="28"/>
          <w:lang w:eastAsia="ru-RU"/>
        </w:rPr>
        <w:t xml:space="preserve">Часть этих положений была ранее закреплена, в основном, в известном </w:t>
      </w:r>
      <w:r w:rsidRPr="00A22685">
        <w:rPr>
          <w:rFonts w:ascii="Times New Roman" w:hAnsi="Times New Roman"/>
          <w:iCs/>
          <w:sz w:val="28"/>
          <w:szCs w:val="28"/>
          <w:lang w:eastAsia="ru-RU"/>
        </w:rPr>
        <w:t xml:space="preserve">Постановлении Пленума Высшего арбитражного суда России № 53 от 12 октября 2006, в принципе, этот судебный акт остается </w:t>
      </w:r>
      <w:proofErr w:type="gramStart"/>
      <w:r w:rsidRPr="00A22685">
        <w:rPr>
          <w:rFonts w:ascii="Times New Roman" w:hAnsi="Times New Roman"/>
          <w:iCs/>
          <w:sz w:val="28"/>
          <w:szCs w:val="28"/>
          <w:lang w:eastAsia="ru-RU"/>
        </w:rPr>
        <w:t>по прежнему</w:t>
      </w:r>
      <w:proofErr w:type="gramEnd"/>
      <w:r w:rsidRPr="00A22685">
        <w:rPr>
          <w:rFonts w:ascii="Times New Roman" w:hAnsi="Times New Roman"/>
          <w:iCs/>
          <w:sz w:val="28"/>
          <w:szCs w:val="28"/>
          <w:lang w:eastAsia="ru-RU"/>
        </w:rPr>
        <w:t xml:space="preserve"> актуален. </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p>
    <w:p w:rsidR="00EE1D39" w:rsidRPr="00A22685" w:rsidRDefault="00EE1D39" w:rsidP="00EE1D39">
      <w:pPr>
        <w:autoSpaceDE w:val="0"/>
        <w:autoSpaceDN w:val="0"/>
        <w:adjustRightInd w:val="0"/>
        <w:spacing w:after="0" w:line="240" w:lineRule="auto"/>
        <w:ind w:firstLine="540"/>
        <w:jc w:val="both"/>
        <w:rPr>
          <w:rFonts w:ascii="Times New Roman" w:hAnsi="Times New Roman"/>
          <w:sz w:val="28"/>
          <w:szCs w:val="28"/>
          <w:lang w:eastAsia="ru-RU"/>
        </w:rPr>
      </w:pPr>
      <w:r w:rsidRPr="00A22685">
        <w:rPr>
          <w:rFonts w:ascii="Times New Roman" w:hAnsi="Times New Roman"/>
          <w:sz w:val="28"/>
          <w:szCs w:val="28"/>
          <w:lang w:eastAsia="ru-RU"/>
        </w:rPr>
        <w:t xml:space="preserve">Попробуем эти изменения коротко рассмотреть именно в той интерпретации, в которой эти положения понимаются именно нами, есть множество комментариев, а мы вот свое понимание сейчас попробуем выразить. </w:t>
      </w:r>
    </w:p>
    <w:p w:rsidR="00EE1D39" w:rsidRPr="00A22685" w:rsidRDefault="00EE1D39" w:rsidP="00EE1D39">
      <w:pPr>
        <w:autoSpaceDE w:val="0"/>
        <w:autoSpaceDN w:val="0"/>
        <w:adjustRightInd w:val="0"/>
        <w:spacing w:after="0" w:line="240" w:lineRule="auto"/>
        <w:ind w:firstLine="540"/>
        <w:jc w:val="both"/>
        <w:rPr>
          <w:rFonts w:ascii="Times New Roman" w:hAnsi="Times New Roman"/>
          <w:sz w:val="28"/>
          <w:szCs w:val="28"/>
          <w:lang w:eastAsia="ru-RU"/>
        </w:rPr>
      </w:pPr>
      <w:r w:rsidRPr="00A22685">
        <w:rPr>
          <w:rFonts w:ascii="Times New Roman" w:hAnsi="Times New Roman"/>
          <w:sz w:val="28"/>
          <w:szCs w:val="28"/>
          <w:lang w:eastAsia="ru-RU"/>
        </w:rPr>
        <w:t xml:space="preserve">В принципе сам рассматриваемый закон 163-ФЗ содержит введенную статью 54.1 НК РФ, состоящую из 4 частей (пунктов), наибольший интерес представляют часть вторая и третья (пункты 2 и 3), </w:t>
      </w:r>
      <w:proofErr w:type="gramStart"/>
      <w:r w:rsidRPr="00A22685">
        <w:rPr>
          <w:rFonts w:ascii="Times New Roman" w:hAnsi="Times New Roman"/>
          <w:sz w:val="28"/>
          <w:szCs w:val="28"/>
          <w:lang w:eastAsia="ru-RU"/>
        </w:rPr>
        <w:t>мы</w:t>
      </w:r>
      <w:proofErr w:type="gramEnd"/>
      <w:r w:rsidRPr="00A22685">
        <w:rPr>
          <w:rFonts w:ascii="Times New Roman" w:hAnsi="Times New Roman"/>
          <w:sz w:val="28"/>
          <w:szCs w:val="28"/>
          <w:lang w:eastAsia="ru-RU"/>
        </w:rPr>
        <w:t xml:space="preserve"> на них обратив особое внимание, а также вносимые изменения в статью 82 Налогового кодекса проанализируем их несколько позже.</w:t>
      </w:r>
    </w:p>
    <w:p w:rsidR="00EE1D39" w:rsidRPr="00A22685" w:rsidRDefault="00EE1D39" w:rsidP="00EE1D39">
      <w:pPr>
        <w:autoSpaceDE w:val="0"/>
        <w:autoSpaceDN w:val="0"/>
        <w:adjustRightInd w:val="0"/>
        <w:spacing w:after="0" w:line="240" w:lineRule="auto"/>
        <w:ind w:firstLine="540"/>
        <w:jc w:val="both"/>
        <w:rPr>
          <w:rFonts w:ascii="Times New Roman" w:hAnsi="Times New Roman"/>
          <w:sz w:val="28"/>
          <w:szCs w:val="28"/>
          <w:lang w:eastAsia="ru-RU"/>
        </w:rPr>
      </w:pPr>
    </w:p>
    <w:p w:rsidR="00EE1D39" w:rsidRPr="00A22685" w:rsidRDefault="00EE1D39" w:rsidP="00EE1D39">
      <w:pPr>
        <w:autoSpaceDE w:val="0"/>
        <w:autoSpaceDN w:val="0"/>
        <w:adjustRightInd w:val="0"/>
        <w:spacing w:after="0" w:line="240" w:lineRule="auto"/>
        <w:ind w:firstLine="540"/>
        <w:jc w:val="both"/>
        <w:rPr>
          <w:rFonts w:ascii="Times New Roman" w:hAnsi="Times New Roman"/>
          <w:b/>
          <w:sz w:val="28"/>
          <w:szCs w:val="28"/>
          <w:lang w:eastAsia="ru-RU"/>
        </w:rPr>
      </w:pPr>
      <w:r w:rsidRPr="00A22685">
        <w:rPr>
          <w:rFonts w:ascii="Times New Roman" w:hAnsi="Times New Roman"/>
          <w:b/>
          <w:sz w:val="28"/>
          <w:szCs w:val="28"/>
          <w:lang w:eastAsia="ru-RU"/>
        </w:rPr>
        <w:t>Согласно части или пункта первого названной статьи не допускается уменьшение налогоплательщиком налоговой базы посредством искажения сведений о его хозяйственной деятельности или об объектах налогообложения.</w:t>
      </w:r>
    </w:p>
    <w:p w:rsidR="00EE1D39" w:rsidRPr="00A22685" w:rsidRDefault="00EE1D39" w:rsidP="00EE1D39">
      <w:pPr>
        <w:autoSpaceDE w:val="0"/>
        <w:autoSpaceDN w:val="0"/>
        <w:adjustRightInd w:val="0"/>
        <w:spacing w:after="0" w:line="240" w:lineRule="auto"/>
        <w:ind w:firstLine="540"/>
        <w:jc w:val="both"/>
        <w:rPr>
          <w:rFonts w:ascii="Times New Roman" w:hAnsi="Times New Roman"/>
          <w:sz w:val="28"/>
          <w:szCs w:val="28"/>
        </w:rPr>
      </w:pPr>
      <w:r w:rsidRPr="00A22685">
        <w:rPr>
          <w:rFonts w:ascii="Times New Roman" w:hAnsi="Times New Roman"/>
          <w:sz w:val="28"/>
          <w:szCs w:val="28"/>
          <w:lang w:eastAsia="ru-RU"/>
        </w:rPr>
        <w:t>Т.е., пункт первый названной статьи содержит простые и общие положения, говорящие о недопустимости</w:t>
      </w:r>
      <w:r w:rsidRPr="00A22685">
        <w:rPr>
          <w:rFonts w:ascii="Times New Roman" w:hAnsi="Times New Roman"/>
          <w:sz w:val="28"/>
          <w:szCs w:val="28"/>
        </w:rPr>
        <w:t xml:space="preserve"> уменьшение налоговой базы в результате искажения учетных операций или данных бухгалтерского или налогового учета. </w:t>
      </w:r>
    </w:p>
    <w:p w:rsidR="00EE1D39" w:rsidRPr="00A22685" w:rsidRDefault="00EE1D39" w:rsidP="00EE1D39">
      <w:pPr>
        <w:autoSpaceDE w:val="0"/>
        <w:autoSpaceDN w:val="0"/>
        <w:adjustRightInd w:val="0"/>
        <w:spacing w:after="0" w:line="240" w:lineRule="auto"/>
        <w:ind w:firstLine="540"/>
        <w:jc w:val="both"/>
        <w:rPr>
          <w:rFonts w:ascii="Times New Roman" w:hAnsi="Times New Roman"/>
          <w:sz w:val="28"/>
          <w:szCs w:val="28"/>
          <w:lang w:eastAsia="ru-RU"/>
        </w:rPr>
      </w:pPr>
      <w:r w:rsidRPr="00A22685">
        <w:rPr>
          <w:rFonts w:ascii="Times New Roman" w:hAnsi="Times New Roman"/>
          <w:sz w:val="28"/>
          <w:szCs w:val="28"/>
        </w:rPr>
        <w:t xml:space="preserve">В данном случае само понятие «искажение», полагаем, говорит само за себя, речь идет о фиктивном, мнимом или притворном характере хозяйственных операций, недостоверности сведений представляемых налогоплательщиком в налоговые органы, в целях последующего незаконного получения налоговых вычетов или уменьшения налоговой базы. </w:t>
      </w:r>
    </w:p>
    <w:p w:rsidR="00EE1D39" w:rsidRPr="00A22685" w:rsidRDefault="00EE1D39" w:rsidP="00EE1D39">
      <w:pPr>
        <w:autoSpaceDE w:val="0"/>
        <w:autoSpaceDN w:val="0"/>
        <w:adjustRightInd w:val="0"/>
        <w:spacing w:after="0" w:line="240" w:lineRule="auto"/>
        <w:ind w:firstLine="540"/>
        <w:jc w:val="both"/>
        <w:rPr>
          <w:rFonts w:ascii="Times New Roman" w:hAnsi="Times New Roman"/>
          <w:b/>
          <w:sz w:val="28"/>
          <w:szCs w:val="28"/>
          <w:lang w:eastAsia="ru-RU"/>
        </w:rPr>
      </w:pPr>
    </w:p>
    <w:p w:rsidR="00EE1D39" w:rsidRPr="00A22685" w:rsidRDefault="00EE1D39" w:rsidP="00EE1D39">
      <w:pPr>
        <w:autoSpaceDE w:val="0"/>
        <w:autoSpaceDN w:val="0"/>
        <w:adjustRightInd w:val="0"/>
        <w:spacing w:after="0" w:line="240" w:lineRule="auto"/>
        <w:ind w:firstLine="540"/>
        <w:jc w:val="both"/>
        <w:rPr>
          <w:rFonts w:ascii="Times New Roman" w:hAnsi="Times New Roman"/>
          <w:sz w:val="28"/>
          <w:szCs w:val="28"/>
          <w:lang w:eastAsia="ru-RU"/>
        </w:rPr>
      </w:pPr>
      <w:r w:rsidRPr="00A22685">
        <w:rPr>
          <w:rFonts w:ascii="Times New Roman" w:hAnsi="Times New Roman"/>
          <w:b/>
          <w:sz w:val="28"/>
          <w:szCs w:val="28"/>
          <w:lang w:eastAsia="ru-RU"/>
        </w:rPr>
        <w:lastRenderedPageBreak/>
        <w:t>Часть вторая или пункт 2</w:t>
      </w:r>
      <w:r w:rsidRPr="00A22685">
        <w:rPr>
          <w:rFonts w:ascii="Times New Roman" w:hAnsi="Times New Roman"/>
          <w:sz w:val="28"/>
          <w:szCs w:val="28"/>
          <w:lang w:eastAsia="ru-RU"/>
        </w:rPr>
        <w:t xml:space="preserve"> статьи 54.1 Налогового кодекса содержит положения, согласно которым налогоплательщик </w:t>
      </w:r>
      <w:r w:rsidRPr="00A22685">
        <w:rPr>
          <w:rFonts w:ascii="Times New Roman" w:hAnsi="Times New Roman"/>
          <w:b/>
          <w:sz w:val="28"/>
          <w:szCs w:val="28"/>
          <w:lang w:eastAsia="ru-RU"/>
        </w:rPr>
        <w:t>вправе уменьшить налоговую базу</w:t>
      </w:r>
      <w:r w:rsidRPr="00A22685">
        <w:rPr>
          <w:rFonts w:ascii="Times New Roman" w:hAnsi="Times New Roman"/>
          <w:sz w:val="28"/>
          <w:szCs w:val="28"/>
          <w:lang w:eastAsia="ru-RU"/>
        </w:rPr>
        <w:t xml:space="preserve"> (как мы понимаем, речь </w:t>
      </w:r>
      <w:proofErr w:type="gramStart"/>
      <w:r w:rsidRPr="00A22685">
        <w:rPr>
          <w:rFonts w:ascii="Times New Roman" w:hAnsi="Times New Roman"/>
          <w:sz w:val="28"/>
          <w:szCs w:val="28"/>
          <w:lang w:eastAsia="ru-RU"/>
        </w:rPr>
        <w:t>идет</w:t>
      </w:r>
      <w:proofErr w:type="gramEnd"/>
      <w:r w:rsidRPr="00A22685">
        <w:rPr>
          <w:rFonts w:ascii="Times New Roman" w:hAnsi="Times New Roman"/>
          <w:sz w:val="28"/>
          <w:szCs w:val="28"/>
          <w:lang w:eastAsia="ru-RU"/>
        </w:rPr>
        <w:t xml:space="preserve"> в том числе о вычетах по НДС и расходах, уменьшающих налогооблагаемую прибыль), итак, вправе уменьшить налогооблагаемую базу в следующих случаях: </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sz w:val="28"/>
          <w:szCs w:val="28"/>
          <w:lang w:eastAsia="ru-RU"/>
        </w:rPr>
      </w:pPr>
      <w:r w:rsidRPr="00A22685">
        <w:rPr>
          <w:rFonts w:ascii="Times New Roman" w:hAnsi="Times New Roman"/>
          <w:sz w:val="28"/>
          <w:szCs w:val="28"/>
          <w:lang w:eastAsia="ru-RU"/>
        </w:rPr>
        <w:t xml:space="preserve">1) </w:t>
      </w:r>
      <w:r w:rsidRPr="00A22685">
        <w:rPr>
          <w:rFonts w:ascii="Times New Roman" w:hAnsi="Times New Roman"/>
          <w:b/>
          <w:sz w:val="28"/>
          <w:szCs w:val="28"/>
          <w:lang w:eastAsia="ru-RU"/>
        </w:rPr>
        <w:t>если</w:t>
      </w:r>
      <w:r w:rsidRPr="00A22685">
        <w:rPr>
          <w:rFonts w:ascii="Times New Roman" w:hAnsi="Times New Roman"/>
          <w:sz w:val="28"/>
          <w:szCs w:val="28"/>
          <w:lang w:eastAsia="ru-RU"/>
        </w:rPr>
        <w:t xml:space="preserve"> основной целью совершения сделки (налогооблагаемой операции) </w:t>
      </w:r>
      <w:r w:rsidRPr="00A22685">
        <w:rPr>
          <w:rFonts w:ascii="Times New Roman" w:hAnsi="Times New Roman"/>
          <w:b/>
          <w:sz w:val="28"/>
          <w:szCs w:val="28"/>
          <w:u w:val="single"/>
          <w:lang w:eastAsia="ru-RU"/>
        </w:rPr>
        <w:t>НЕ</w:t>
      </w:r>
      <w:r w:rsidRPr="00A22685">
        <w:rPr>
          <w:rFonts w:ascii="Times New Roman" w:hAnsi="Times New Roman"/>
          <w:sz w:val="28"/>
          <w:szCs w:val="28"/>
          <w:lang w:eastAsia="ru-RU"/>
        </w:rPr>
        <w:t xml:space="preserve"> является </w:t>
      </w:r>
      <w:r w:rsidRPr="00A22685">
        <w:rPr>
          <w:rFonts w:ascii="Times New Roman" w:hAnsi="Times New Roman"/>
          <w:b/>
          <w:sz w:val="28"/>
          <w:szCs w:val="28"/>
          <w:lang w:eastAsia="ru-RU"/>
        </w:rPr>
        <w:t>неуплата</w:t>
      </w:r>
      <w:r w:rsidRPr="00A22685">
        <w:rPr>
          <w:rFonts w:ascii="Times New Roman" w:hAnsi="Times New Roman"/>
          <w:sz w:val="28"/>
          <w:szCs w:val="28"/>
          <w:lang w:eastAsia="ru-RU"/>
        </w:rPr>
        <w:t>, зачет или возврат налога;</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sz w:val="28"/>
          <w:szCs w:val="28"/>
          <w:lang w:eastAsia="ru-RU"/>
        </w:rPr>
      </w:pPr>
      <w:r w:rsidRPr="00A22685">
        <w:rPr>
          <w:rFonts w:ascii="Times New Roman" w:hAnsi="Times New Roman"/>
          <w:sz w:val="28"/>
          <w:szCs w:val="28"/>
          <w:lang w:eastAsia="ru-RU"/>
        </w:rPr>
        <w:t xml:space="preserve">2) </w:t>
      </w:r>
      <w:r w:rsidRPr="00A22685">
        <w:rPr>
          <w:rFonts w:ascii="Times New Roman" w:hAnsi="Times New Roman"/>
          <w:b/>
          <w:sz w:val="28"/>
          <w:szCs w:val="28"/>
          <w:lang w:eastAsia="ru-RU"/>
        </w:rPr>
        <w:t>если</w:t>
      </w:r>
      <w:r w:rsidRPr="00A22685">
        <w:rPr>
          <w:rFonts w:ascii="Times New Roman" w:hAnsi="Times New Roman"/>
          <w:sz w:val="28"/>
          <w:szCs w:val="28"/>
          <w:lang w:eastAsia="ru-RU"/>
        </w:rPr>
        <w:t xml:space="preserve"> обязательство по сделке (по договору) исполнено лицом, являющимся стороной договора, заключенного с налогоплательщиком, или лицом, которому обязательство по исполнению сделки передано по договору или закону. </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b/>
          <w:iCs/>
          <w:sz w:val="28"/>
          <w:szCs w:val="28"/>
          <w:lang w:eastAsia="ru-RU"/>
        </w:rPr>
      </w:pPr>
      <w:r w:rsidRPr="00A22685">
        <w:rPr>
          <w:rFonts w:ascii="Times New Roman" w:hAnsi="Times New Roman"/>
          <w:b/>
          <w:iCs/>
          <w:sz w:val="28"/>
          <w:szCs w:val="28"/>
          <w:lang w:eastAsia="ru-RU"/>
        </w:rPr>
        <w:t>Важно, что оба этих положения (обе части пункта 2 статьи 54.1 НК) должны соблюдаться одновременно.</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Проанализируем вторую позицию, потом обратной логикой вернемся к первой.</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Вторая часть пункта 2 названной статьи запрещает уменьшать налоговую базу, когда обязательство, даже если и </w:t>
      </w:r>
      <w:r w:rsidRPr="00A22685">
        <w:rPr>
          <w:rFonts w:ascii="Times New Roman" w:hAnsi="Times New Roman"/>
          <w:b/>
          <w:iCs/>
          <w:sz w:val="28"/>
          <w:szCs w:val="28"/>
          <w:u w:val="single"/>
          <w:lang w:eastAsia="ru-RU"/>
        </w:rPr>
        <w:t>реально исполнено</w:t>
      </w:r>
      <w:r w:rsidRPr="00A22685">
        <w:rPr>
          <w:rFonts w:ascii="Times New Roman" w:hAnsi="Times New Roman"/>
          <w:iCs/>
          <w:sz w:val="28"/>
          <w:szCs w:val="28"/>
          <w:lang w:eastAsia="ru-RU"/>
        </w:rPr>
        <w:t xml:space="preserve"> (т</w:t>
      </w:r>
      <w:proofErr w:type="gramStart"/>
      <w:r w:rsidRPr="00A22685">
        <w:rPr>
          <w:rFonts w:ascii="Times New Roman" w:hAnsi="Times New Roman"/>
          <w:iCs/>
          <w:sz w:val="28"/>
          <w:szCs w:val="28"/>
          <w:lang w:eastAsia="ru-RU"/>
        </w:rPr>
        <w:t>.е</w:t>
      </w:r>
      <w:proofErr w:type="gramEnd"/>
      <w:r w:rsidRPr="00A22685">
        <w:rPr>
          <w:rFonts w:ascii="Times New Roman" w:hAnsi="Times New Roman"/>
          <w:iCs/>
          <w:sz w:val="28"/>
          <w:szCs w:val="28"/>
          <w:lang w:eastAsia="ru-RU"/>
        </w:rPr>
        <w:t xml:space="preserve"> товары поставлены, услуги оказаны, работы выполнены), </w:t>
      </w:r>
      <w:r w:rsidRPr="00A22685">
        <w:rPr>
          <w:rFonts w:ascii="Times New Roman" w:hAnsi="Times New Roman"/>
          <w:b/>
          <w:iCs/>
          <w:sz w:val="28"/>
          <w:szCs w:val="28"/>
          <w:lang w:eastAsia="ru-RU"/>
        </w:rPr>
        <w:t>однако сам договор, счета-фактуры, акты, накладные и тому подобное</w:t>
      </w:r>
      <w:r w:rsidRPr="00A22685">
        <w:rPr>
          <w:rFonts w:ascii="Times New Roman" w:hAnsi="Times New Roman"/>
          <w:iCs/>
          <w:sz w:val="28"/>
          <w:szCs w:val="28"/>
          <w:lang w:eastAsia="ru-RU"/>
        </w:rPr>
        <w:t xml:space="preserve">. </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Иными словами, если при проверке правомерности вычета по налогу на добавленную стоимость налогоплательщик предъявляет какие - либо «формальные отношения», так сказать, со своим контрагентом, а встречная проверка контрагента проявляет его, как «проблемного», или как классическую однодневку – вычет он не получит.</w:t>
      </w:r>
    </w:p>
    <w:p w:rsidR="00EE1D39" w:rsidRPr="00A22685" w:rsidRDefault="00EE1D39" w:rsidP="00A22685">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Если </w:t>
      </w:r>
      <w:r w:rsidR="00A22685" w:rsidRPr="00A22685">
        <w:rPr>
          <w:rFonts w:ascii="Times New Roman" w:hAnsi="Times New Roman"/>
          <w:iCs/>
          <w:sz w:val="28"/>
          <w:szCs w:val="28"/>
          <w:lang w:eastAsia="ru-RU"/>
        </w:rPr>
        <w:t>будет установлено</w:t>
      </w:r>
      <w:r w:rsidRPr="00A22685">
        <w:rPr>
          <w:rFonts w:ascii="Times New Roman" w:hAnsi="Times New Roman"/>
          <w:iCs/>
          <w:sz w:val="28"/>
          <w:szCs w:val="28"/>
          <w:lang w:eastAsia="ru-RU"/>
        </w:rPr>
        <w:t>, что у контрагента нет персонала, техники, или иной принципиальной возможности исполнить то, что по представленным документам исполнено, вычет налогоплательщик</w:t>
      </w:r>
      <w:r w:rsidR="00A22685" w:rsidRPr="00A22685">
        <w:rPr>
          <w:rFonts w:ascii="Times New Roman" w:hAnsi="Times New Roman"/>
          <w:iCs/>
          <w:sz w:val="28"/>
          <w:szCs w:val="28"/>
          <w:lang w:eastAsia="ru-RU"/>
        </w:rPr>
        <w:t>у</w:t>
      </w:r>
      <w:r w:rsidRPr="00A22685">
        <w:rPr>
          <w:rFonts w:ascii="Times New Roman" w:hAnsi="Times New Roman"/>
          <w:iCs/>
          <w:sz w:val="28"/>
          <w:szCs w:val="28"/>
          <w:lang w:eastAsia="ru-RU"/>
        </w:rPr>
        <w:t xml:space="preserve"> не </w:t>
      </w:r>
      <w:r w:rsidR="00A22685" w:rsidRPr="00A22685">
        <w:rPr>
          <w:rFonts w:ascii="Times New Roman" w:hAnsi="Times New Roman"/>
          <w:iCs/>
          <w:sz w:val="28"/>
          <w:szCs w:val="28"/>
          <w:lang w:eastAsia="ru-RU"/>
        </w:rPr>
        <w:t>будет обоснованным</w:t>
      </w:r>
      <w:r w:rsidRPr="00A22685">
        <w:rPr>
          <w:rFonts w:ascii="Times New Roman" w:hAnsi="Times New Roman"/>
          <w:iCs/>
          <w:sz w:val="28"/>
          <w:szCs w:val="28"/>
          <w:lang w:eastAsia="ru-RU"/>
        </w:rPr>
        <w:t>. И уже НЕ на основании, статистики судебных разбирательств, а на основании закона.</w:t>
      </w:r>
    </w:p>
    <w:p w:rsidR="00EE1D39" w:rsidRPr="00A22685" w:rsidRDefault="00A22685" w:rsidP="00EE1D39">
      <w:pPr>
        <w:autoSpaceDE w:val="0"/>
        <w:autoSpaceDN w:val="0"/>
        <w:adjustRightInd w:val="0"/>
        <w:spacing w:after="0" w:line="240" w:lineRule="auto"/>
        <w:ind w:firstLine="540"/>
        <w:jc w:val="both"/>
        <w:rPr>
          <w:rFonts w:ascii="Times New Roman" w:hAnsi="Times New Roman"/>
          <w:b/>
          <w:sz w:val="28"/>
          <w:szCs w:val="28"/>
          <w:lang w:eastAsia="ru-RU"/>
        </w:rPr>
      </w:pPr>
      <w:r w:rsidRPr="00A22685">
        <w:rPr>
          <w:rFonts w:ascii="Times New Roman" w:hAnsi="Times New Roman"/>
          <w:iCs/>
          <w:sz w:val="28"/>
          <w:szCs w:val="28"/>
          <w:lang w:eastAsia="ru-RU"/>
        </w:rPr>
        <w:t>Если</w:t>
      </w:r>
      <w:r w:rsidR="00EE1D39" w:rsidRPr="00A22685">
        <w:rPr>
          <w:rFonts w:ascii="Times New Roman" w:hAnsi="Times New Roman"/>
          <w:iCs/>
          <w:sz w:val="28"/>
          <w:szCs w:val="28"/>
          <w:lang w:eastAsia="ru-RU"/>
        </w:rPr>
        <w:t xml:space="preserve"> ран</w:t>
      </w:r>
      <w:r w:rsidRPr="00A22685">
        <w:rPr>
          <w:rFonts w:ascii="Times New Roman" w:hAnsi="Times New Roman"/>
          <w:iCs/>
          <w:sz w:val="28"/>
          <w:szCs w:val="28"/>
          <w:lang w:eastAsia="ru-RU"/>
        </w:rPr>
        <w:t>ее</w:t>
      </w:r>
      <w:r w:rsidR="00EE1D39" w:rsidRPr="00A22685">
        <w:rPr>
          <w:rFonts w:ascii="Times New Roman" w:hAnsi="Times New Roman"/>
          <w:iCs/>
          <w:sz w:val="28"/>
          <w:szCs w:val="28"/>
          <w:lang w:eastAsia="ru-RU"/>
        </w:rPr>
        <w:t xml:space="preserve">, касательно «реально произведенных расходов», </w:t>
      </w:r>
      <w:r w:rsidR="00EE1D39" w:rsidRPr="00A22685">
        <w:rPr>
          <w:rFonts w:ascii="Times New Roman" w:hAnsi="Times New Roman"/>
          <w:b/>
          <w:iCs/>
          <w:sz w:val="28"/>
          <w:szCs w:val="28"/>
          <w:lang w:eastAsia="ru-RU"/>
        </w:rPr>
        <w:t>даже не подтвержденных формально</w:t>
      </w:r>
      <w:r w:rsidR="00EE1D39" w:rsidRPr="00A22685">
        <w:rPr>
          <w:rFonts w:ascii="Times New Roman" w:hAnsi="Times New Roman"/>
          <w:iCs/>
          <w:sz w:val="28"/>
          <w:szCs w:val="28"/>
          <w:lang w:eastAsia="ru-RU"/>
        </w:rPr>
        <w:t xml:space="preserve">, имелась очень противоречивая судебная практика, позволявшая налогоплательщикам настаивать на экспертизах, оценке понесенных расходов и отнесения их на уменьшение налогооблагаемой прибыли. </w:t>
      </w:r>
      <w:r w:rsidR="00EE1D39" w:rsidRPr="00A22685">
        <w:rPr>
          <w:rFonts w:ascii="Times New Roman" w:hAnsi="Times New Roman"/>
          <w:b/>
          <w:iCs/>
          <w:sz w:val="28"/>
          <w:szCs w:val="28"/>
          <w:lang w:eastAsia="ru-RU"/>
        </w:rPr>
        <w:t xml:space="preserve">Суды зачастую принимали позицию налогоплательщиков. Действовало такое </w:t>
      </w:r>
      <w:r w:rsidR="00EE1D39" w:rsidRPr="00A22685">
        <w:rPr>
          <w:rFonts w:ascii="Times New Roman" w:hAnsi="Times New Roman"/>
          <w:b/>
          <w:sz w:val="28"/>
          <w:szCs w:val="28"/>
          <w:lang w:eastAsia="ru-RU"/>
        </w:rPr>
        <w:t>Определение Верховного суда России от 15 июня 2017 N 305-КГ17-19927.</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Теперь это исключено или запрещено на уровне закона.</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Итак, главное, для получения вычета по НДС  – теперь поставщик должен РЕАЛЬНО отгрузить товар. То же самое по расходам, уменьшающим налогооблагаемую прибыль. </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p>
    <w:p w:rsidR="00EE1D39" w:rsidRPr="00A22685" w:rsidRDefault="00EE1D39" w:rsidP="00EE1D39">
      <w:pPr>
        <w:autoSpaceDE w:val="0"/>
        <w:autoSpaceDN w:val="0"/>
        <w:adjustRightInd w:val="0"/>
        <w:spacing w:after="0" w:line="240" w:lineRule="auto"/>
        <w:ind w:firstLine="540"/>
        <w:jc w:val="both"/>
        <w:rPr>
          <w:rFonts w:ascii="Times New Roman" w:hAnsi="Times New Roman"/>
          <w:bCs/>
          <w:sz w:val="28"/>
          <w:szCs w:val="28"/>
          <w:lang w:eastAsia="ru-RU"/>
        </w:rPr>
      </w:pPr>
      <w:r w:rsidRPr="00A22685">
        <w:rPr>
          <w:rFonts w:ascii="Times New Roman" w:hAnsi="Times New Roman"/>
          <w:iCs/>
          <w:sz w:val="28"/>
          <w:szCs w:val="28"/>
          <w:lang w:eastAsia="ru-RU"/>
        </w:rPr>
        <w:t>Теперь в обратной последовательности о первой позиции, или части 1 пункта 2 статьи 54.1 НК РФ.</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Здесь речь идет о «цели сделки, направленной на «неуплату» налога, или получения «вычета», в данном случае определяющим фактором является умысел налогоплательщика. Т.е. именно умышленное создание формального документооборота с фирмой однодневкой, или иными словами представление налоговому органу документов по мнимым или притворным сделкам в </w:t>
      </w:r>
      <w:proofErr w:type="spellStart"/>
      <w:r w:rsidRPr="00A22685">
        <w:rPr>
          <w:rFonts w:ascii="Times New Roman" w:hAnsi="Times New Roman"/>
          <w:iCs/>
          <w:sz w:val="28"/>
          <w:szCs w:val="28"/>
          <w:lang w:eastAsia="ru-RU"/>
        </w:rPr>
        <w:t>оправданиЕ</w:t>
      </w:r>
      <w:proofErr w:type="spellEnd"/>
      <w:r w:rsidRPr="00A22685">
        <w:rPr>
          <w:rFonts w:ascii="Times New Roman" w:hAnsi="Times New Roman"/>
          <w:iCs/>
          <w:sz w:val="28"/>
          <w:szCs w:val="28"/>
          <w:lang w:eastAsia="ru-RU"/>
        </w:rPr>
        <w:t xml:space="preserve"> понесенных расходов или в оправдание получения вычета по НДС.</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Т.е. не только должно быть доказано, что для проверки инспекторам предоставлены документы по фиктивной (мнимой) или ничтожной сделке, сделки с «подставной» организацией – однодневкой, должна быть одновременно установлена цель налогоплательщика. А </w:t>
      </w:r>
      <w:r w:rsidRPr="00A22685">
        <w:rPr>
          <w:rFonts w:ascii="Times New Roman" w:hAnsi="Times New Roman"/>
          <w:b/>
          <w:iCs/>
          <w:sz w:val="28"/>
          <w:szCs w:val="28"/>
          <w:u w:val="single"/>
          <w:lang w:eastAsia="ru-RU"/>
        </w:rPr>
        <w:t>целью</w:t>
      </w:r>
      <w:r w:rsidRPr="00A22685">
        <w:rPr>
          <w:rFonts w:ascii="Times New Roman" w:hAnsi="Times New Roman"/>
          <w:iCs/>
          <w:sz w:val="28"/>
          <w:szCs w:val="28"/>
          <w:lang w:eastAsia="ru-RU"/>
        </w:rPr>
        <w:t xml:space="preserve"> должна быть, непременно, именно неуплата  налога (или получение вычета). Т.е. должно быть доказано, что фиктивные сделки оформлялись налогоплательщиком именно с целью уклониться от налогообложения, или получить преференции по налогу.</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b/>
          <w:iCs/>
          <w:sz w:val="28"/>
          <w:szCs w:val="28"/>
          <w:lang w:eastAsia="ru-RU"/>
        </w:rPr>
      </w:pPr>
      <w:r w:rsidRPr="00A22685">
        <w:rPr>
          <w:rFonts w:ascii="Times New Roman" w:hAnsi="Times New Roman"/>
          <w:b/>
          <w:iCs/>
          <w:sz w:val="28"/>
          <w:szCs w:val="28"/>
          <w:lang w:eastAsia="ru-RU"/>
        </w:rPr>
        <w:t xml:space="preserve">Т.е. речь здесь идет об УМЫСЛЕ! </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b/>
          <w:sz w:val="28"/>
          <w:szCs w:val="28"/>
          <w:lang w:eastAsia="ru-RU"/>
        </w:rPr>
      </w:pPr>
      <w:r w:rsidRPr="00A22685">
        <w:rPr>
          <w:rFonts w:ascii="Times New Roman" w:hAnsi="Times New Roman"/>
          <w:b/>
          <w:sz w:val="28"/>
          <w:szCs w:val="28"/>
          <w:lang w:eastAsia="ru-RU"/>
        </w:rPr>
        <w:t>При этом, налоговому органу не просто надо доказать, что налогоплательщик заключил фиктивный договор с «однодневкой», необходимо доказать и умысел!!!</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В настоящее время сложилась… положительная для налоговых органов судебная практика, позволяющая налоговому органу </w:t>
      </w:r>
      <w:proofErr w:type="spellStart"/>
      <w:r w:rsidRPr="00A22685">
        <w:rPr>
          <w:rFonts w:ascii="Times New Roman" w:hAnsi="Times New Roman"/>
          <w:iCs/>
          <w:sz w:val="28"/>
          <w:szCs w:val="28"/>
          <w:lang w:eastAsia="ru-RU"/>
        </w:rPr>
        <w:t>доначислять</w:t>
      </w:r>
      <w:proofErr w:type="spellEnd"/>
      <w:r w:rsidRPr="00A22685">
        <w:rPr>
          <w:rFonts w:ascii="Times New Roman" w:hAnsi="Times New Roman"/>
          <w:iCs/>
          <w:sz w:val="28"/>
          <w:szCs w:val="28"/>
          <w:lang w:eastAsia="ru-RU"/>
        </w:rPr>
        <w:t xml:space="preserve"> налоги по мнимым или притворным сделкам, без обращения в суд с исками о признании их недействительными. У налоговых органов есть право самостоятельной квалификации такого рода сделок изначально при проверках. </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В практике в подавляющем большинстве случаев сделки носят именно «мнимый» характер, т.е. заключаются формально без намерения получить фактический результат. Намерение, как правило, бывает именно на уклонение от уплаты налогов или получение вычета, чего страшнее возврата налога.</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Сегодня пункт 8 Постановления №53 позволяет налоговым органом самостоятельно делать выводы о фиктивности сделок. Соответственно умысел на заключение такого рода «сделок» уже сам по себе при этом предполагается.</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lastRenderedPageBreak/>
        <w:t xml:space="preserve">Ранее было много вопросов по поводу возможности доказательства умысла в рамках проведения не административного, скажем, или уголовного, а именно </w:t>
      </w:r>
      <w:proofErr w:type="spellStart"/>
      <w:proofErr w:type="gramStart"/>
      <w:r w:rsidRPr="00A22685">
        <w:rPr>
          <w:rFonts w:ascii="Times New Roman" w:hAnsi="Times New Roman"/>
          <w:iCs/>
          <w:sz w:val="28"/>
          <w:szCs w:val="28"/>
          <w:lang w:eastAsia="ru-RU"/>
        </w:rPr>
        <w:t>налогово</w:t>
      </w:r>
      <w:proofErr w:type="spellEnd"/>
      <w:r w:rsidRPr="00A22685">
        <w:rPr>
          <w:rFonts w:ascii="Times New Roman" w:hAnsi="Times New Roman"/>
          <w:iCs/>
          <w:sz w:val="28"/>
          <w:szCs w:val="28"/>
          <w:lang w:eastAsia="ru-RU"/>
        </w:rPr>
        <w:t xml:space="preserve"> – процессуального</w:t>
      </w:r>
      <w:proofErr w:type="gramEnd"/>
      <w:r w:rsidRPr="00A22685">
        <w:rPr>
          <w:rFonts w:ascii="Times New Roman" w:hAnsi="Times New Roman"/>
          <w:iCs/>
          <w:sz w:val="28"/>
          <w:szCs w:val="28"/>
          <w:lang w:eastAsia="ru-RU"/>
        </w:rPr>
        <w:t xml:space="preserve"> законодательства </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В настоящее время Федеральной налоговой службой и Следственным комитетом России разработаны Методические </w:t>
      </w:r>
      <w:hyperlink r:id="rId4" w:history="1">
        <w:r w:rsidRPr="00A22685">
          <w:rPr>
            <w:rFonts w:ascii="Times New Roman" w:hAnsi="Times New Roman"/>
            <w:iCs/>
            <w:color w:val="0000FF"/>
            <w:sz w:val="28"/>
            <w:szCs w:val="28"/>
            <w:lang w:eastAsia="ru-RU"/>
          </w:rPr>
          <w:t>рекомендации</w:t>
        </w:r>
      </w:hyperlink>
      <w:r w:rsidRPr="00A22685">
        <w:rPr>
          <w:rFonts w:ascii="Times New Roman" w:hAnsi="Times New Roman"/>
          <w:iCs/>
          <w:sz w:val="28"/>
          <w:szCs w:val="28"/>
          <w:lang w:eastAsia="ru-RU"/>
        </w:rPr>
        <w:t xml:space="preserve"> об исследовании и доказывании фактов </w:t>
      </w:r>
      <w:r w:rsidRPr="00A22685">
        <w:rPr>
          <w:rFonts w:ascii="Times New Roman" w:hAnsi="Times New Roman"/>
          <w:b/>
          <w:iCs/>
          <w:sz w:val="28"/>
          <w:szCs w:val="28"/>
          <w:lang w:eastAsia="ru-RU"/>
        </w:rPr>
        <w:t xml:space="preserve">умышленной неуплаты </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В этих Методических </w:t>
      </w:r>
      <w:hyperlink r:id="rId5" w:history="1">
        <w:r w:rsidRPr="00A22685">
          <w:rPr>
            <w:rFonts w:ascii="Times New Roman" w:hAnsi="Times New Roman"/>
            <w:iCs/>
            <w:color w:val="0000FF"/>
            <w:sz w:val="28"/>
            <w:szCs w:val="28"/>
            <w:lang w:eastAsia="ru-RU"/>
          </w:rPr>
          <w:t>рекомендациях</w:t>
        </w:r>
      </w:hyperlink>
      <w:r w:rsidRPr="00A22685">
        <w:rPr>
          <w:rFonts w:ascii="Times New Roman" w:hAnsi="Times New Roman"/>
          <w:iCs/>
          <w:sz w:val="28"/>
          <w:szCs w:val="28"/>
          <w:lang w:eastAsia="ru-RU"/>
        </w:rPr>
        <w:t xml:space="preserve"> закреплен алгоритм действий по выявлению фактов, свидетельствующих об умышленной неуплате налогов. </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 Сама цель этих </w:t>
      </w:r>
      <w:hyperlink r:id="rId6" w:history="1">
        <w:r w:rsidRPr="00A22685">
          <w:rPr>
            <w:rFonts w:ascii="Times New Roman" w:hAnsi="Times New Roman"/>
            <w:iCs/>
            <w:color w:val="0000FF"/>
            <w:sz w:val="28"/>
            <w:szCs w:val="28"/>
            <w:lang w:eastAsia="ru-RU"/>
          </w:rPr>
          <w:t>рекомендаций</w:t>
        </w:r>
      </w:hyperlink>
      <w:r w:rsidRPr="00A22685">
        <w:rPr>
          <w:rFonts w:ascii="Times New Roman" w:hAnsi="Times New Roman"/>
          <w:iCs/>
          <w:sz w:val="28"/>
          <w:szCs w:val="28"/>
          <w:lang w:eastAsia="ru-RU"/>
        </w:rPr>
        <w:t xml:space="preserve"> - повысить эффективность работы налоговых органов по выявлению и доказыванию случаев умышленного уклонения от налогов. Т.е., на сегодняшний день на практике уже ПОЯВИЛСЯ на правовой механизм для закрепления умысла, в том числе с целью применения рассматриваемых сейчас положений статьи 54.1 НК РФ.</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Если наличие умысла доказано, размер штрафа значительно увеличивается с 20% до 40%. Кроме того, умышленное уклонение от уплаты налогов с организации, совершенное в крупном размере, может повлечь уголовную ответственность виновного должностного лица.</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 Таким образом, подводя итог, в настоящее время, </w:t>
      </w:r>
      <w:r w:rsidRPr="00A22685">
        <w:rPr>
          <w:rFonts w:ascii="Times New Roman" w:hAnsi="Times New Roman"/>
          <w:b/>
          <w:iCs/>
          <w:sz w:val="28"/>
          <w:szCs w:val="28"/>
          <w:lang w:eastAsia="ru-RU"/>
        </w:rPr>
        <w:t xml:space="preserve">налоговые органы будут эффективней </w:t>
      </w:r>
      <w:r w:rsidRPr="00A22685">
        <w:rPr>
          <w:rFonts w:ascii="Times New Roman" w:hAnsi="Times New Roman"/>
          <w:iCs/>
          <w:sz w:val="28"/>
          <w:szCs w:val="28"/>
          <w:lang w:eastAsia="ru-RU"/>
        </w:rPr>
        <w:t xml:space="preserve">работать с налогоплательщиками, умышленно создающими фиктивный или формальный документооборот, в целях получения налоговой выгоды (вычетов по НДС, уменьшение налогооблагаемой прибыли, и так далее). </w:t>
      </w:r>
    </w:p>
    <w:p w:rsidR="00EE1D39" w:rsidRPr="00A22685" w:rsidRDefault="00EE1D39" w:rsidP="00EE1D39">
      <w:pPr>
        <w:autoSpaceDE w:val="0"/>
        <w:autoSpaceDN w:val="0"/>
        <w:adjustRightInd w:val="0"/>
        <w:spacing w:after="0" w:line="240" w:lineRule="auto"/>
        <w:ind w:firstLine="540"/>
        <w:jc w:val="both"/>
        <w:rPr>
          <w:rFonts w:ascii="Times New Roman" w:hAnsi="Times New Roman"/>
          <w:iCs/>
          <w:sz w:val="28"/>
          <w:szCs w:val="28"/>
          <w:lang w:eastAsia="ru-RU"/>
        </w:rPr>
      </w:pPr>
      <w:r w:rsidRPr="00A22685">
        <w:rPr>
          <w:rFonts w:ascii="Times New Roman" w:hAnsi="Times New Roman"/>
          <w:iCs/>
          <w:sz w:val="28"/>
          <w:szCs w:val="28"/>
          <w:lang w:eastAsia="ru-RU"/>
        </w:rPr>
        <w:t xml:space="preserve">Самим  налогоплательщикам теперь уже стало НЕ выгодно, или даже опасно «оформлять» свои отношения с «НЕ реальными» партнерами. Ну, </w:t>
      </w:r>
      <w:proofErr w:type="gramStart"/>
      <w:r w:rsidRPr="00A22685">
        <w:rPr>
          <w:rFonts w:ascii="Times New Roman" w:hAnsi="Times New Roman"/>
          <w:iCs/>
          <w:sz w:val="28"/>
          <w:szCs w:val="28"/>
          <w:lang w:eastAsia="ru-RU"/>
        </w:rPr>
        <w:t>и</w:t>
      </w:r>
      <w:proofErr w:type="gramEnd"/>
      <w:r w:rsidRPr="00A22685">
        <w:rPr>
          <w:rFonts w:ascii="Times New Roman" w:hAnsi="Times New Roman"/>
          <w:iCs/>
          <w:sz w:val="28"/>
          <w:szCs w:val="28"/>
          <w:lang w:eastAsia="ru-RU"/>
        </w:rPr>
        <w:t xml:space="preserve"> напротив, в отношениях с реальными партнерами меньше будет вопросов задаваться (кто подписал, кто на том конце не заплатил налог, обоснованная сделка экономически или нет – этих вопросов налоговые органы уже задавать не будут).</w:t>
      </w:r>
    </w:p>
    <w:p w:rsidR="00EE1D39" w:rsidRPr="00A22685" w:rsidRDefault="00A22685" w:rsidP="00A22685">
      <w:pPr>
        <w:autoSpaceDE w:val="0"/>
        <w:autoSpaceDN w:val="0"/>
        <w:adjustRightInd w:val="0"/>
        <w:spacing w:after="0" w:line="240" w:lineRule="auto"/>
        <w:jc w:val="both"/>
        <w:rPr>
          <w:rFonts w:ascii="Times New Roman" w:hAnsi="Times New Roman"/>
          <w:sz w:val="28"/>
          <w:szCs w:val="28"/>
          <w:lang w:eastAsia="ru-RU"/>
        </w:rPr>
      </w:pPr>
      <w:r w:rsidRPr="00A22685">
        <w:rPr>
          <w:rFonts w:ascii="Times New Roman" w:hAnsi="Times New Roman"/>
          <w:sz w:val="28"/>
          <w:szCs w:val="28"/>
          <w:lang w:eastAsia="ru-RU"/>
        </w:rPr>
        <w:t xml:space="preserve">         </w:t>
      </w:r>
      <w:proofErr w:type="gramStart"/>
      <w:r w:rsidR="00EE1D39" w:rsidRPr="00A22685">
        <w:rPr>
          <w:rFonts w:ascii="Times New Roman" w:hAnsi="Times New Roman"/>
          <w:sz w:val="28"/>
          <w:szCs w:val="28"/>
          <w:lang w:eastAsia="ru-RU"/>
        </w:rPr>
        <w:t>Согласно изменений</w:t>
      </w:r>
      <w:proofErr w:type="gramEnd"/>
      <w:r w:rsidR="00EE1D39" w:rsidRPr="00A22685">
        <w:rPr>
          <w:rFonts w:ascii="Times New Roman" w:hAnsi="Times New Roman"/>
          <w:sz w:val="28"/>
          <w:szCs w:val="28"/>
          <w:lang w:eastAsia="ru-RU"/>
        </w:rPr>
        <w:t xml:space="preserve">, внесенных  рассматриваемым законом в статью 82 Налогового кодекса доказывание обстоятельств, предусмотренных пунктом вновь веденной статьей 54.1 или факта несоблюдения условий, предусмотренных названной статьей производится налоговым органом при проведении мероприятий налогового контроля в рамках проведения соответствующих налоговых проверок. </w:t>
      </w:r>
    </w:p>
    <w:p w:rsidR="00EE1D39" w:rsidRPr="00A22685" w:rsidRDefault="00EE1D39" w:rsidP="00A22685">
      <w:pPr>
        <w:autoSpaceDE w:val="0"/>
        <w:autoSpaceDN w:val="0"/>
        <w:adjustRightInd w:val="0"/>
        <w:spacing w:after="0" w:line="240" w:lineRule="auto"/>
        <w:ind w:firstLine="540"/>
        <w:jc w:val="both"/>
        <w:rPr>
          <w:rFonts w:ascii="Times New Roman" w:hAnsi="Times New Roman"/>
          <w:sz w:val="28"/>
          <w:szCs w:val="28"/>
          <w:lang w:eastAsia="ru-RU"/>
        </w:rPr>
      </w:pPr>
      <w:r w:rsidRPr="00A22685">
        <w:rPr>
          <w:rFonts w:ascii="Times New Roman" w:hAnsi="Times New Roman"/>
          <w:sz w:val="28"/>
          <w:szCs w:val="28"/>
          <w:lang w:eastAsia="ru-RU"/>
        </w:rPr>
        <w:t>Это интересное новшество, согласно которому налоговые органы должны исключить из практики последующую доработку доказательной базу уже на стадиях судебного разбирательства с налогоплательщиками, в принципе, во всех положениях нового закона видится призыв к повышению эффективности работы самих налоговых органов при добыче и закреплении соответствующей доказательной базы.</w:t>
      </w:r>
    </w:p>
    <w:p w:rsidR="00EE1D39" w:rsidRPr="00A22685" w:rsidRDefault="00EE1D39" w:rsidP="00EE1D39">
      <w:pPr>
        <w:autoSpaceDE w:val="0"/>
        <w:autoSpaceDN w:val="0"/>
        <w:adjustRightInd w:val="0"/>
        <w:spacing w:before="220" w:after="0" w:line="240" w:lineRule="auto"/>
        <w:ind w:firstLine="540"/>
        <w:jc w:val="both"/>
        <w:rPr>
          <w:rFonts w:ascii="Times New Roman" w:hAnsi="Times New Roman"/>
          <w:sz w:val="28"/>
          <w:szCs w:val="28"/>
        </w:rPr>
      </w:pPr>
      <w:r w:rsidRPr="00A22685">
        <w:rPr>
          <w:rFonts w:ascii="Times New Roman" w:hAnsi="Times New Roman"/>
          <w:iCs/>
          <w:sz w:val="28"/>
          <w:szCs w:val="28"/>
          <w:lang w:eastAsia="ru-RU"/>
        </w:rPr>
        <w:t xml:space="preserve">Касательно начала действия рассмотренных изменений, поправки вступили в силу с </w:t>
      </w:r>
      <w:r w:rsidRPr="00A22685">
        <w:rPr>
          <w:rFonts w:ascii="Times New Roman" w:hAnsi="Times New Roman"/>
          <w:sz w:val="28"/>
          <w:szCs w:val="28"/>
        </w:rPr>
        <w:t xml:space="preserve"> 19 августа 2017 года, согласно специальным переходным положениям правило </w:t>
      </w:r>
      <w:hyperlink r:id="rId7" w:anchor="block_82" w:tgtFrame="_blank" w:history="1">
        <w:r w:rsidRPr="00A22685">
          <w:rPr>
            <w:rStyle w:val="af6"/>
            <w:rFonts w:ascii="Times New Roman" w:hAnsi="Times New Roman"/>
            <w:color w:val="auto"/>
            <w:sz w:val="28"/>
            <w:szCs w:val="28"/>
          </w:rPr>
          <w:t>п. 5 ст. 82</w:t>
        </w:r>
      </w:hyperlink>
      <w:r w:rsidRPr="00A22685">
        <w:rPr>
          <w:rFonts w:ascii="Times New Roman" w:hAnsi="Times New Roman"/>
          <w:sz w:val="28"/>
          <w:szCs w:val="28"/>
        </w:rPr>
        <w:t xml:space="preserve"> НК РФ о том, что </w:t>
      </w:r>
      <w:r w:rsidRPr="00A22685">
        <w:rPr>
          <w:rFonts w:ascii="Times New Roman" w:hAnsi="Times New Roman"/>
          <w:b/>
          <w:sz w:val="28"/>
          <w:szCs w:val="28"/>
        </w:rPr>
        <w:t xml:space="preserve">налоговый орган </w:t>
      </w:r>
      <w:r w:rsidRPr="00A22685">
        <w:rPr>
          <w:rFonts w:ascii="Times New Roman" w:hAnsi="Times New Roman"/>
          <w:b/>
          <w:sz w:val="28"/>
          <w:szCs w:val="28"/>
        </w:rPr>
        <w:lastRenderedPageBreak/>
        <w:t>доказывает обстоятельства</w:t>
      </w:r>
      <w:r w:rsidRPr="00A22685">
        <w:rPr>
          <w:rFonts w:ascii="Times New Roman" w:hAnsi="Times New Roman"/>
          <w:sz w:val="28"/>
          <w:szCs w:val="28"/>
        </w:rPr>
        <w:t>, указанные в </w:t>
      </w:r>
      <w:hyperlink r:id="rId8" w:anchor="block_5411" w:tgtFrame="_blank" w:history="1">
        <w:r w:rsidRPr="00A22685">
          <w:rPr>
            <w:rStyle w:val="af6"/>
            <w:rFonts w:ascii="Times New Roman" w:hAnsi="Times New Roman"/>
            <w:color w:val="auto"/>
            <w:sz w:val="28"/>
            <w:szCs w:val="28"/>
          </w:rPr>
          <w:t>пунктах 1</w:t>
        </w:r>
      </w:hyperlink>
      <w:r w:rsidRPr="00A22685">
        <w:rPr>
          <w:rFonts w:ascii="Times New Roman" w:hAnsi="Times New Roman"/>
          <w:sz w:val="28"/>
          <w:szCs w:val="28"/>
        </w:rPr>
        <w:t> и </w:t>
      </w:r>
      <w:hyperlink r:id="rId9" w:anchor="block_54102" w:tgtFrame="_blank" w:history="1">
        <w:r w:rsidRPr="00A22685">
          <w:rPr>
            <w:rStyle w:val="af6"/>
            <w:rFonts w:ascii="Times New Roman" w:hAnsi="Times New Roman"/>
            <w:color w:val="auto"/>
            <w:sz w:val="28"/>
            <w:szCs w:val="28"/>
          </w:rPr>
          <w:t>2 ст. 54.1</w:t>
        </w:r>
      </w:hyperlink>
      <w:r w:rsidRPr="00A22685">
        <w:rPr>
          <w:rFonts w:ascii="Times New Roman" w:hAnsi="Times New Roman"/>
          <w:sz w:val="28"/>
          <w:szCs w:val="28"/>
        </w:rPr>
        <w:t> НК РФ, в ходе мероприятий налогового контроля, применяется:</w:t>
      </w:r>
    </w:p>
    <w:p w:rsidR="00EE1D39" w:rsidRPr="00A22685" w:rsidRDefault="00EE1D39" w:rsidP="00EE1D39">
      <w:pPr>
        <w:pStyle w:val="af5"/>
        <w:shd w:val="clear" w:color="auto" w:fill="FFFFFF"/>
        <w:spacing w:before="0" w:beforeAutospacing="0" w:after="120" w:afterAutospacing="0"/>
        <w:ind w:firstLine="540"/>
        <w:jc w:val="both"/>
        <w:rPr>
          <w:color w:val="000000"/>
          <w:sz w:val="28"/>
          <w:szCs w:val="28"/>
        </w:rPr>
      </w:pPr>
      <w:r w:rsidRPr="00A22685">
        <w:rPr>
          <w:sz w:val="28"/>
          <w:szCs w:val="28"/>
        </w:rPr>
        <w:t>- к камеральным налоговым проверкам налоговых деклараций, представленных в налоговый орган</w:t>
      </w:r>
      <w:r w:rsidRPr="00A22685">
        <w:rPr>
          <w:color w:val="000000"/>
          <w:sz w:val="28"/>
          <w:szCs w:val="28"/>
        </w:rPr>
        <w:t xml:space="preserve"> после 19 августа 2017 г.</w:t>
      </w:r>
    </w:p>
    <w:p w:rsidR="00EE1D39" w:rsidRPr="00A22685" w:rsidRDefault="00EE1D39" w:rsidP="00EE1D39">
      <w:pPr>
        <w:pStyle w:val="af5"/>
        <w:shd w:val="clear" w:color="auto" w:fill="FFFFFF"/>
        <w:spacing w:before="0" w:beforeAutospacing="0" w:after="120" w:afterAutospacing="0"/>
        <w:ind w:firstLine="540"/>
        <w:jc w:val="both"/>
        <w:rPr>
          <w:color w:val="000000"/>
          <w:sz w:val="28"/>
          <w:szCs w:val="28"/>
        </w:rPr>
      </w:pPr>
      <w:r w:rsidRPr="00A22685">
        <w:rPr>
          <w:color w:val="000000"/>
          <w:sz w:val="28"/>
          <w:szCs w:val="28"/>
        </w:rPr>
        <w:t xml:space="preserve">- к выездным налоговым проверкам и проверкам полноты исчисления и уплаты налогов в связи с совершением сделок между взаимозависимыми лицами, </w:t>
      </w:r>
      <w:proofErr w:type="gramStart"/>
      <w:r w:rsidRPr="00A22685">
        <w:rPr>
          <w:color w:val="000000"/>
          <w:sz w:val="28"/>
          <w:szCs w:val="28"/>
        </w:rPr>
        <w:t>решения</w:t>
      </w:r>
      <w:proofErr w:type="gramEnd"/>
      <w:r w:rsidRPr="00A22685">
        <w:rPr>
          <w:color w:val="000000"/>
          <w:sz w:val="28"/>
          <w:szCs w:val="28"/>
        </w:rPr>
        <w:t xml:space="preserve"> о назначении которых вынесены налоговыми органами после 19 августа 2017 г. </w:t>
      </w:r>
    </w:p>
    <w:sectPr w:rsidR="00EE1D39" w:rsidRPr="00A22685" w:rsidSect="00591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D39"/>
    <w:rsid w:val="0003363E"/>
    <w:rsid w:val="000339D2"/>
    <w:rsid w:val="000420C4"/>
    <w:rsid w:val="00042110"/>
    <w:rsid w:val="00046F6D"/>
    <w:rsid w:val="000536C4"/>
    <w:rsid w:val="000716C4"/>
    <w:rsid w:val="00092FCB"/>
    <w:rsid w:val="000F6474"/>
    <w:rsid w:val="00104896"/>
    <w:rsid w:val="001062B7"/>
    <w:rsid w:val="00111885"/>
    <w:rsid w:val="001153CE"/>
    <w:rsid w:val="00125011"/>
    <w:rsid w:val="00133AAE"/>
    <w:rsid w:val="00140B0B"/>
    <w:rsid w:val="00142AAC"/>
    <w:rsid w:val="00143B2B"/>
    <w:rsid w:val="001455AD"/>
    <w:rsid w:val="00153215"/>
    <w:rsid w:val="0015403B"/>
    <w:rsid w:val="00176DED"/>
    <w:rsid w:val="001855F4"/>
    <w:rsid w:val="001B1B02"/>
    <w:rsid w:val="001C7B2C"/>
    <w:rsid w:val="001D3CFA"/>
    <w:rsid w:val="001E7C05"/>
    <w:rsid w:val="001F43F2"/>
    <w:rsid w:val="00230A3D"/>
    <w:rsid w:val="0023668F"/>
    <w:rsid w:val="002656E6"/>
    <w:rsid w:val="00294305"/>
    <w:rsid w:val="00295679"/>
    <w:rsid w:val="002B20B4"/>
    <w:rsid w:val="002B420F"/>
    <w:rsid w:val="002B5533"/>
    <w:rsid w:val="002C5886"/>
    <w:rsid w:val="002F114B"/>
    <w:rsid w:val="0030370C"/>
    <w:rsid w:val="003102F7"/>
    <w:rsid w:val="0031362F"/>
    <w:rsid w:val="00336966"/>
    <w:rsid w:val="003474CD"/>
    <w:rsid w:val="00371289"/>
    <w:rsid w:val="003716A3"/>
    <w:rsid w:val="0037741D"/>
    <w:rsid w:val="00380157"/>
    <w:rsid w:val="0039674D"/>
    <w:rsid w:val="003B1669"/>
    <w:rsid w:val="003D49FD"/>
    <w:rsid w:val="003F42BF"/>
    <w:rsid w:val="004159F3"/>
    <w:rsid w:val="00417025"/>
    <w:rsid w:val="00420E4E"/>
    <w:rsid w:val="004327D1"/>
    <w:rsid w:val="00433725"/>
    <w:rsid w:val="004376E8"/>
    <w:rsid w:val="00437976"/>
    <w:rsid w:val="00444681"/>
    <w:rsid w:val="004508B1"/>
    <w:rsid w:val="0045242F"/>
    <w:rsid w:val="004556CC"/>
    <w:rsid w:val="004622C5"/>
    <w:rsid w:val="00463DEE"/>
    <w:rsid w:val="004A1703"/>
    <w:rsid w:val="004A74EB"/>
    <w:rsid w:val="004B5AE5"/>
    <w:rsid w:val="004D4EA5"/>
    <w:rsid w:val="005163D5"/>
    <w:rsid w:val="005329F2"/>
    <w:rsid w:val="00556D1B"/>
    <w:rsid w:val="00556F22"/>
    <w:rsid w:val="005667A1"/>
    <w:rsid w:val="00573D4B"/>
    <w:rsid w:val="00591E93"/>
    <w:rsid w:val="005B27B6"/>
    <w:rsid w:val="005B6C6C"/>
    <w:rsid w:val="005D435E"/>
    <w:rsid w:val="005E5BA9"/>
    <w:rsid w:val="005F5C06"/>
    <w:rsid w:val="00602D51"/>
    <w:rsid w:val="00606202"/>
    <w:rsid w:val="006104D7"/>
    <w:rsid w:val="00623157"/>
    <w:rsid w:val="006235F4"/>
    <w:rsid w:val="00635DEB"/>
    <w:rsid w:val="00641CFD"/>
    <w:rsid w:val="00653A01"/>
    <w:rsid w:val="0066503E"/>
    <w:rsid w:val="00677599"/>
    <w:rsid w:val="00697340"/>
    <w:rsid w:val="006E3F1E"/>
    <w:rsid w:val="007206D4"/>
    <w:rsid w:val="00732285"/>
    <w:rsid w:val="00752815"/>
    <w:rsid w:val="0076062E"/>
    <w:rsid w:val="0076194A"/>
    <w:rsid w:val="00772978"/>
    <w:rsid w:val="00782B56"/>
    <w:rsid w:val="007C10F9"/>
    <w:rsid w:val="007F2A47"/>
    <w:rsid w:val="0081523F"/>
    <w:rsid w:val="0081741A"/>
    <w:rsid w:val="00836B63"/>
    <w:rsid w:val="008420DD"/>
    <w:rsid w:val="0084634D"/>
    <w:rsid w:val="00850C6F"/>
    <w:rsid w:val="00871BB5"/>
    <w:rsid w:val="0088651A"/>
    <w:rsid w:val="00896310"/>
    <w:rsid w:val="008A30CD"/>
    <w:rsid w:val="008C77EE"/>
    <w:rsid w:val="008E498C"/>
    <w:rsid w:val="0090118A"/>
    <w:rsid w:val="009337C1"/>
    <w:rsid w:val="00991008"/>
    <w:rsid w:val="009B18EB"/>
    <w:rsid w:val="009B71D8"/>
    <w:rsid w:val="009C5596"/>
    <w:rsid w:val="009D36D3"/>
    <w:rsid w:val="00A02FCA"/>
    <w:rsid w:val="00A07198"/>
    <w:rsid w:val="00A07F33"/>
    <w:rsid w:val="00A17EBE"/>
    <w:rsid w:val="00A22685"/>
    <w:rsid w:val="00A24CFE"/>
    <w:rsid w:val="00A43FE1"/>
    <w:rsid w:val="00A44A44"/>
    <w:rsid w:val="00A56776"/>
    <w:rsid w:val="00A8045F"/>
    <w:rsid w:val="00AA530C"/>
    <w:rsid w:val="00AB2547"/>
    <w:rsid w:val="00AB7EB9"/>
    <w:rsid w:val="00AE46C8"/>
    <w:rsid w:val="00AE5557"/>
    <w:rsid w:val="00B15148"/>
    <w:rsid w:val="00B26B38"/>
    <w:rsid w:val="00B41467"/>
    <w:rsid w:val="00B604E2"/>
    <w:rsid w:val="00B6215A"/>
    <w:rsid w:val="00B65521"/>
    <w:rsid w:val="00B663B8"/>
    <w:rsid w:val="00B838FF"/>
    <w:rsid w:val="00B84253"/>
    <w:rsid w:val="00B9161D"/>
    <w:rsid w:val="00B96DAC"/>
    <w:rsid w:val="00BB74A6"/>
    <w:rsid w:val="00BD72B3"/>
    <w:rsid w:val="00BE2A61"/>
    <w:rsid w:val="00C015CB"/>
    <w:rsid w:val="00C061E8"/>
    <w:rsid w:val="00C12AB4"/>
    <w:rsid w:val="00C13577"/>
    <w:rsid w:val="00C24BAE"/>
    <w:rsid w:val="00C3115C"/>
    <w:rsid w:val="00C54A65"/>
    <w:rsid w:val="00C60599"/>
    <w:rsid w:val="00C63395"/>
    <w:rsid w:val="00C74331"/>
    <w:rsid w:val="00C75B86"/>
    <w:rsid w:val="00C90AE5"/>
    <w:rsid w:val="00C95BDB"/>
    <w:rsid w:val="00C96304"/>
    <w:rsid w:val="00CA1A26"/>
    <w:rsid w:val="00CD4496"/>
    <w:rsid w:val="00CF522E"/>
    <w:rsid w:val="00D11248"/>
    <w:rsid w:val="00D1653C"/>
    <w:rsid w:val="00D40A4B"/>
    <w:rsid w:val="00D63E10"/>
    <w:rsid w:val="00D70243"/>
    <w:rsid w:val="00D87A31"/>
    <w:rsid w:val="00D9450C"/>
    <w:rsid w:val="00DA3E92"/>
    <w:rsid w:val="00DB1A20"/>
    <w:rsid w:val="00E0153A"/>
    <w:rsid w:val="00E0370D"/>
    <w:rsid w:val="00E058DF"/>
    <w:rsid w:val="00E05B30"/>
    <w:rsid w:val="00E3173D"/>
    <w:rsid w:val="00E32560"/>
    <w:rsid w:val="00E57EAC"/>
    <w:rsid w:val="00E82D12"/>
    <w:rsid w:val="00EB64F0"/>
    <w:rsid w:val="00EC6BBC"/>
    <w:rsid w:val="00EE1D39"/>
    <w:rsid w:val="00EF0F94"/>
    <w:rsid w:val="00EF4B10"/>
    <w:rsid w:val="00EF6D37"/>
    <w:rsid w:val="00F16A82"/>
    <w:rsid w:val="00F30357"/>
    <w:rsid w:val="00F71BC3"/>
    <w:rsid w:val="00FA2F9F"/>
    <w:rsid w:val="00FA7A64"/>
    <w:rsid w:val="00FB3CEE"/>
    <w:rsid w:val="00FC2BDF"/>
    <w:rsid w:val="00FE2158"/>
    <w:rsid w:val="00FE34F2"/>
    <w:rsid w:val="00FF2473"/>
    <w:rsid w:val="00FF6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39"/>
    <w:pPr>
      <w:spacing w:after="200" w:line="276" w:lineRule="auto"/>
    </w:pPr>
    <w:rPr>
      <w:sz w:val="22"/>
      <w:szCs w:val="22"/>
      <w:lang w:eastAsia="en-US"/>
    </w:rPr>
  </w:style>
  <w:style w:type="paragraph" w:styleId="1">
    <w:name w:val="heading 1"/>
    <w:basedOn w:val="a"/>
    <w:next w:val="a"/>
    <w:link w:val="10"/>
    <w:uiPriority w:val="9"/>
    <w:qFormat/>
    <w:rsid w:val="009337C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337C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337C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37C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90AE5"/>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C90AE5"/>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C90AE5"/>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C90AE5"/>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C90AE5"/>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7C1"/>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9337C1"/>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9337C1"/>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9337C1"/>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C90AE5"/>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C90AE5"/>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C90AE5"/>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C90AE5"/>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C90AE5"/>
    <w:rPr>
      <w:rFonts w:asciiTheme="majorHAnsi" w:eastAsiaTheme="majorEastAsia" w:hAnsiTheme="majorHAnsi" w:cstheme="majorBidi"/>
      <w:sz w:val="22"/>
      <w:szCs w:val="22"/>
      <w:lang w:eastAsia="en-US"/>
    </w:rPr>
  </w:style>
  <w:style w:type="paragraph" w:styleId="a3">
    <w:name w:val="Title"/>
    <w:basedOn w:val="a"/>
    <w:next w:val="a"/>
    <w:link w:val="a4"/>
    <w:uiPriority w:val="10"/>
    <w:qFormat/>
    <w:rsid w:val="00C90AE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90AE5"/>
    <w:rPr>
      <w:rFonts w:asciiTheme="majorHAnsi" w:eastAsiaTheme="majorEastAsia" w:hAnsiTheme="majorHAnsi" w:cstheme="majorBidi"/>
      <w:b/>
      <w:bCs/>
      <w:kern w:val="28"/>
      <w:sz w:val="32"/>
      <w:szCs w:val="32"/>
      <w:lang w:eastAsia="en-US"/>
    </w:rPr>
  </w:style>
  <w:style w:type="paragraph" w:styleId="a5">
    <w:name w:val="Subtitle"/>
    <w:basedOn w:val="a"/>
    <w:next w:val="a"/>
    <w:link w:val="a6"/>
    <w:uiPriority w:val="11"/>
    <w:qFormat/>
    <w:rsid w:val="00C90AE5"/>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C90AE5"/>
    <w:rPr>
      <w:rFonts w:asciiTheme="majorHAnsi" w:eastAsiaTheme="majorEastAsia" w:hAnsiTheme="majorHAnsi" w:cstheme="majorBidi"/>
      <w:sz w:val="24"/>
      <w:szCs w:val="24"/>
      <w:lang w:eastAsia="en-US"/>
    </w:rPr>
  </w:style>
  <w:style w:type="character" w:styleId="a7">
    <w:name w:val="Strong"/>
    <w:basedOn w:val="a0"/>
    <w:uiPriority w:val="22"/>
    <w:qFormat/>
    <w:rsid w:val="00C90AE5"/>
    <w:rPr>
      <w:b/>
      <w:bCs/>
    </w:rPr>
  </w:style>
  <w:style w:type="character" w:styleId="a8">
    <w:name w:val="Emphasis"/>
    <w:basedOn w:val="a0"/>
    <w:uiPriority w:val="20"/>
    <w:qFormat/>
    <w:rsid w:val="00C90AE5"/>
    <w:rPr>
      <w:i/>
      <w:iCs/>
    </w:rPr>
  </w:style>
  <w:style w:type="paragraph" w:styleId="a9">
    <w:name w:val="No Spacing"/>
    <w:uiPriority w:val="1"/>
    <w:qFormat/>
    <w:rsid w:val="00FE2158"/>
    <w:rPr>
      <w:sz w:val="22"/>
      <w:szCs w:val="22"/>
      <w:lang w:eastAsia="en-US"/>
    </w:rPr>
  </w:style>
  <w:style w:type="paragraph" w:styleId="aa">
    <w:name w:val="List Paragraph"/>
    <w:basedOn w:val="a"/>
    <w:uiPriority w:val="34"/>
    <w:qFormat/>
    <w:rsid w:val="00C90AE5"/>
    <w:pPr>
      <w:ind w:left="708"/>
    </w:pPr>
  </w:style>
  <w:style w:type="paragraph" w:styleId="21">
    <w:name w:val="Quote"/>
    <w:basedOn w:val="a"/>
    <w:next w:val="a"/>
    <w:link w:val="22"/>
    <w:uiPriority w:val="29"/>
    <w:qFormat/>
    <w:rsid w:val="00C90AE5"/>
    <w:rPr>
      <w:i/>
      <w:iCs/>
      <w:color w:val="000000" w:themeColor="text1"/>
    </w:rPr>
  </w:style>
  <w:style w:type="character" w:customStyle="1" w:styleId="22">
    <w:name w:val="Цитата 2 Знак"/>
    <w:basedOn w:val="a0"/>
    <w:link w:val="21"/>
    <w:uiPriority w:val="29"/>
    <w:rsid w:val="00C90AE5"/>
    <w:rPr>
      <w:i/>
      <w:iCs/>
      <w:color w:val="000000" w:themeColor="text1"/>
      <w:sz w:val="22"/>
      <w:szCs w:val="22"/>
      <w:lang w:eastAsia="en-US"/>
    </w:rPr>
  </w:style>
  <w:style w:type="paragraph" w:styleId="ab">
    <w:name w:val="Intense Quote"/>
    <w:basedOn w:val="a"/>
    <w:next w:val="a"/>
    <w:link w:val="ac"/>
    <w:uiPriority w:val="30"/>
    <w:qFormat/>
    <w:rsid w:val="00C90AE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C90AE5"/>
    <w:rPr>
      <w:b/>
      <w:bCs/>
      <w:i/>
      <w:iCs/>
      <w:color w:val="4F81BD" w:themeColor="accent1"/>
      <w:sz w:val="22"/>
      <w:szCs w:val="22"/>
      <w:lang w:eastAsia="en-US"/>
    </w:rPr>
  </w:style>
  <w:style w:type="character" w:styleId="ad">
    <w:name w:val="Subtle Emphasis"/>
    <w:uiPriority w:val="19"/>
    <w:qFormat/>
    <w:rsid w:val="00C90AE5"/>
    <w:rPr>
      <w:i/>
      <w:iCs/>
      <w:color w:val="808080" w:themeColor="text1" w:themeTint="7F"/>
    </w:rPr>
  </w:style>
  <w:style w:type="character" w:styleId="ae">
    <w:name w:val="Intense Emphasis"/>
    <w:basedOn w:val="a0"/>
    <w:uiPriority w:val="21"/>
    <w:qFormat/>
    <w:rsid w:val="00C90AE5"/>
    <w:rPr>
      <w:b/>
      <w:bCs/>
      <w:i/>
      <w:iCs/>
      <w:color w:val="4F81BD" w:themeColor="accent1"/>
    </w:rPr>
  </w:style>
  <w:style w:type="character" w:styleId="af">
    <w:name w:val="Subtle Reference"/>
    <w:basedOn w:val="a0"/>
    <w:uiPriority w:val="31"/>
    <w:qFormat/>
    <w:rsid w:val="00C90AE5"/>
    <w:rPr>
      <w:smallCaps/>
      <w:color w:val="C0504D" w:themeColor="accent2"/>
      <w:u w:val="single"/>
    </w:rPr>
  </w:style>
  <w:style w:type="character" w:styleId="af0">
    <w:name w:val="Intense Reference"/>
    <w:basedOn w:val="a0"/>
    <w:uiPriority w:val="32"/>
    <w:qFormat/>
    <w:rsid w:val="00C90AE5"/>
    <w:rPr>
      <w:b/>
      <w:bCs/>
      <w:smallCaps/>
      <w:color w:val="C0504D" w:themeColor="accent2"/>
      <w:spacing w:val="5"/>
      <w:u w:val="single"/>
    </w:rPr>
  </w:style>
  <w:style w:type="character" w:styleId="af1">
    <w:name w:val="Book Title"/>
    <w:basedOn w:val="a0"/>
    <w:uiPriority w:val="33"/>
    <w:qFormat/>
    <w:rsid w:val="00C90AE5"/>
    <w:rPr>
      <w:b/>
      <w:bCs/>
      <w:smallCaps/>
      <w:spacing w:val="5"/>
    </w:rPr>
  </w:style>
  <w:style w:type="paragraph" w:styleId="af2">
    <w:name w:val="TOC Heading"/>
    <w:basedOn w:val="1"/>
    <w:next w:val="a"/>
    <w:uiPriority w:val="39"/>
    <w:semiHidden/>
    <w:unhideWhenUsed/>
    <w:qFormat/>
    <w:rsid w:val="00C90AE5"/>
    <w:pPr>
      <w:outlineLvl w:val="9"/>
    </w:pPr>
  </w:style>
  <w:style w:type="paragraph" w:customStyle="1" w:styleId="11">
    <w:name w:val="Стиль1"/>
    <w:basedOn w:val="af3"/>
    <w:rsid w:val="00153215"/>
    <w:rPr>
      <w:rFonts w:ascii="Times New Roman" w:hAnsi="Times New Roman"/>
      <w:sz w:val="24"/>
    </w:rPr>
  </w:style>
  <w:style w:type="paragraph" w:styleId="af3">
    <w:name w:val="Plain Text"/>
    <w:basedOn w:val="a"/>
    <w:link w:val="af4"/>
    <w:uiPriority w:val="99"/>
    <w:semiHidden/>
    <w:unhideWhenUsed/>
    <w:rsid w:val="00153215"/>
    <w:rPr>
      <w:rFonts w:ascii="Consolas" w:hAnsi="Consolas" w:cs="Consolas"/>
      <w:sz w:val="21"/>
      <w:szCs w:val="21"/>
    </w:rPr>
  </w:style>
  <w:style w:type="character" w:customStyle="1" w:styleId="af4">
    <w:name w:val="Текст Знак"/>
    <w:basedOn w:val="a0"/>
    <w:link w:val="af3"/>
    <w:uiPriority w:val="99"/>
    <w:semiHidden/>
    <w:rsid w:val="00153215"/>
    <w:rPr>
      <w:rFonts w:ascii="Consolas" w:eastAsiaTheme="minorEastAsia" w:hAnsi="Consolas" w:cs="Consolas"/>
      <w:sz w:val="21"/>
      <w:szCs w:val="21"/>
      <w:lang w:val="en-US" w:bidi="en-US"/>
    </w:rPr>
  </w:style>
  <w:style w:type="paragraph" w:styleId="af5">
    <w:name w:val="Normal (Web)"/>
    <w:basedOn w:val="a"/>
    <w:uiPriority w:val="99"/>
    <w:semiHidden/>
    <w:unhideWhenUsed/>
    <w:rsid w:val="00EE1D3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basedOn w:val="a0"/>
    <w:uiPriority w:val="99"/>
    <w:unhideWhenUsed/>
    <w:rsid w:val="00EE1D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13/" TargetMode="External"/><Relationship Id="rId3" Type="http://schemas.openxmlformats.org/officeDocument/2006/relationships/webSettings" Target="webSettings.xml"/><Relationship Id="rId7" Type="http://schemas.openxmlformats.org/officeDocument/2006/relationships/hyperlink" Target="http://base.garant.ru/1090020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9C3B304994C1F32524126B5686526EE7F169CC7BEE4F9DAEB705B595C39619EAA89F6D8354AE5Cu5F7I" TargetMode="External"/><Relationship Id="rId11" Type="http://schemas.openxmlformats.org/officeDocument/2006/relationships/theme" Target="theme/theme1.xml"/><Relationship Id="rId5" Type="http://schemas.openxmlformats.org/officeDocument/2006/relationships/hyperlink" Target="consultantplus://offline/ref=479C3B304994C1F32524126B5686526EE7F169CC7BEE4F9DAEB705B595C39619EAA89F6D8354AE5Cu5F7I" TargetMode="External"/><Relationship Id="rId10" Type="http://schemas.openxmlformats.org/officeDocument/2006/relationships/fontTable" Target="fontTable.xml"/><Relationship Id="rId4" Type="http://schemas.openxmlformats.org/officeDocument/2006/relationships/hyperlink" Target="consultantplus://offline/ref=479C3B304994C1F32524126B5686526EE7F169CC7BEE4F9DAEB705B595C39619EAA89F6D8354AE5Cu5F7I" TargetMode="External"/><Relationship Id="rId9" Type="http://schemas.openxmlformats.org/officeDocument/2006/relationships/hyperlink" Target="http://base.garant.ru/109002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1500-00-173</dc:creator>
  <cp:lastModifiedBy>Микиртычан Алина Курмановна</cp:lastModifiedBy>
  <cp:revision>2</cp:revision>
  <cp:lastPrinted>2017-12-05T11:49:00Z</cp:lastPrinted>
  <dcterms:created xsi:type="dcterms:W3CDTF">2017-12-05T11:49:00Z</dcterms:created>
  <dcterms:modified xsi:type="dcterms:W3CDTF">2017-12-05T11:49:00Z</dcterms:modified>
</cp:coreProperties>
</file>