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CD" w:rsidRDefault="00F14E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4ECD" w:rsidRDefault="00F14ECD">
      <w:pPr>
        <w:pStyle w:val="ConsPlusNormal"/>
        <w:jc w:val="both"/>
        <w:outlineLvl w:val="0"/>
      </w:pPr>
    </w:p>
    <w:p w:rsidR="00F14ECD" w:rsidRDefault="00F14ECD">
      <w:pPr>
        <w:pStyle w:val="ConsPlusTitle"/>
        <w:jc w:val="center"/>
        <w:outlineLvl w:val="0"/>
      </w:pPr>
      <w:r>
        <w:t>СОВЕТ АЛЬМЕТЬЕВСКОГО МУНИЦИПАЛЬНОГО РАЙОНА</w:t>
      </w:r>
    </w:p>
    <w:p w:rsidR="00F14ECD" w:rsidRDefault="00F14ECD">
      <w:pPr>
        <w:pStyle w:val="ConsPlusTitle"/>
        <w:jc w:val="both"/>
      </w:pPr>
    </w:p>
    <w:p w:rsidR="00F14ECD" w:rsidRDefault="00F14ECD">
      <w:pPr>
        <w:pStyle w:val="ConsPlusTitle"/>
        <w:jc w:val="center"/>
      </w:pPr>
      <w:r>
        <w:t>РЕШЕНИЕ</w:t>
      </w:r>
    </w:p>
    <w:p w:rsidR="00F14ECD" w:rsidRDefault="00F14ECD">
      <w:pPr>
        <w:pStyle w:val="ConsPlusTitle"/>
        <w:jc w:val="center"/>
      </w:pPr>
      <w:r>
        <w:t>от 31 октября 2008 г. N 271</w:t>
      </w:r>
    </w:p>
    <w:p w:rsidR="00F14ECD" w:rsidRDefault="00F14ECD">
      <w:pPr>
        <w:pStyle w:val="ConsPlusTitle"/>
        <w:jc w:val="both"/>
      </w:pPr>
    </w:p>
    <w:p w:rsidR="00F14ECD" w:rsidRDefault="00F14ECD">
      <w:pPr>
        <w:pStyle w:val="ConsPlusTitle"/>
        <w:jc w:val="center"/>
      </w:pPr>
      <w:r>
        <w:t>О ВВЕДЕНИИ В ДЕЙСТВИЕ СИСТЕМЫ НАЛОГООБЛОЖЕНИЯ В ВИДЕ</w:t>
      </w:r>
    </w:p>
    <w:p w:rsidR="00F14ECD" w:rsidRDefault="00F14ECD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F14ECD" w:rsidRDefault="00F14ECD">
      <w:pPr>
        <w:pStyle w:val="ConsPlusTitle"/>
        <w:jc w:val="center"/>
      </w:pPr>
      <w:r>
        <w:t>ДЕЯТЕЛЬНОСТИ, ОБ УСТАНОВЛЕНИИ ПЕРЕЧНЯ ВИДОВ ДЕЯТЕЛЬНОСТИ</w:t>
      </w:r>
    </w:p>
    <w:p w:rsidR="00F14ECD" w:rsidRDefault="00F14ECD">
      <w:pPr>
        <w:pStyle w:val="ConsPlusTitle"/>
        <w:jc w:val="center"/>
      </w:pPr>
      <w:r>
        <w:t>И ПО ОПРЕДЕЛЕНИЮ КОРРЕКТИРУЮЩЕГО КОЭФФИЦИЕНТА</w:t>
      </w:r>
    </w:p>
    <w:p w:rsidR="00F14ECD" w:rsidRDefault="00F14ECD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 xml:space="preserve"> ПО ЕДИНОМУ НАЛОГУ НА ВМЕНЕННЫЙ ДОХОД</w:t>
      </w:r>
    </w:p>
    <w:p w:rsidR="00F14ECD" w:rsidRDefault="00F14ECD">
      <w:pPr>
        <w:pStyle w:val="ConsPlusTitle"/>
        <w:jc w:val="center"/>
      </w:pPr>
      <w:r>
        <w:t>ДЛЯ ОТДЕЛЬНЫХ ВИДОВ ДЕЯТЕЛЬНОСТИ С 1 ЯНВАРЯ 2009 ГОДА</w:t>
      </w:r>
    </w:p>
    <w:p w:rsidR="00F14ECD" w:rsidRDefault="00F14E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4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ECD" w:rsidRDefault="00F14E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Альметьевского районного Совета</w:t>
            </w:r>
            <w:proofErr w:type="gramEnd"/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26.05.2010 </w:t>
            </w:r>
            <w:hyperlink r:id="rId6" w:history="1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11.11.2010 </w:t>
            </w:r>
            <w:hyperlink r:id="rId7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28.04.2011 </w:t>
            </w:r>
            <w:hyperlink r:id="rId8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28.07.2011 </w:t>
            </w:r>
            <w:hyperlink r:id="rId9" w:history="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22.09.2011 </w:t>
            </w:r>
            <w:hyperlink r:id="rId10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28.11.2012 </w:t>
            </w:r>
            <w:hyperlink r:id="rId11" w:history="1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>,</w:t>
            </w:r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12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11.05.2018 </w:t>
            </w:r>
            <w:hyperlink r:id="rId13" w:history="1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22.07.2008 N 155-ФЗ "О внесении изменений в часть вторую Налогового кодекса Российской Федерации" Совет Альметьевского муниципального района решил:</w:t>
      </w: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ind w:firstLine="540"/>
        <w:jc w:val="both"/>
      </w:pPr>
      <w:r>
        <w:t>1. Ввести в действие систему налогообложения в виде единого налога на вмененный доход для отдельных видов деятельности (далее - единый налог) на территории муниципального образования "Альметьевский муниципальный район" Республики Татарстан.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2. 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"Альметьевский муниципальный район" Республики Татарстан виды предпринимательской деятельности, предусмотренной </w:t>
      </w:r>
      <w:hyperlink w:anchor="P23" w:history="1">
        <w:r>
          <w:rPr>
            <w:color w:val="0000FF"/>
          </w:rPr>
          <w:t>пунктом 3</w:t>
        </w:r>
      </w:hyperlink>
      <w:r>
        <w:t xml:space="preserve"> настоящего решения.</w:t>
      </w:r>
    </w:p>
    <w:p w:rsidR="00F14ECD" w:rsidRDefault="00F14ECD">
      <w:pPr>
        <w:pStyle w:val="ConsPlusNormal"/>
        <w:spacing w:before="220"/>
        <w:ind w:firstLine="540"/>
        <w:jc w:val="both"/>
      </w:pPr>
      <w:bookmarkStart w:id="0" w:name="P23"/>
      <w:bookmarkEnd w:id="0"/>
      <w:r>
        <w:t>3. Единый налог применяется в отношении следующих видов предпринимательской деятельности: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5) оказания автотранспортных услуг по перевозке пассажиров и грузов, осуществляемых </w:t>
      </w:r>
      <w:r>
        <w:lastRenderedPageBreak/>
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14ECD" w:rsidRDefault="00F14ECD">
      <w:pPr>
        <w:pStyle w:val="ConsPlusNormal"/>
        <w:spacing w:before="220"/>
        <w:ind w:firstLine="540"/>
        <w:jc w:val="both"/>
      </w:pPr>
      <w:bookmarkStart w:id="1" w:name="P29"/>
      <w:bookmarkEnd w:id="1"/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F14ECD" w:rsidRDefault="00F14ECD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14ECD" w:rsidRDefault="00F14ECD">
      <w:pPr>
        <w:pStyle w:val="ConsPlusNormal"/>
        <w:spacing w:before="220"/>
        <w:ind w:firstLine="540"/>
        <w:jc w:val="both"/>
      </w:pPr>
      <w:bookmarkStart w:id="2" w:name="P31"/>
      <w:bookmarkEnd w:id="2"/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14ECD" w:rsidRDefault="00F14ECD">
      <w:pPr>
        <w:pStyle w:val="ConsPlusNormal"/>
        <w:spacing w:before="220"/>
        <w:ind w:firstLine="540"/>
        <w:jc w:val="both"/>
      </w:pPr>
      <w:bookmarkStart w:id="3" w:name="P32"/>
      <w:bookmarkEnd w:id="3"/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14ECD" w:rsidRDefault="00F14ECD">
      <w:pPr>
        <w:pStyle w:val="ConsPlusNormal"/>
        <w:spacing w:before="220"/>
        <w:ind w:firstLine="540"/>
        <w:jc w:val="both"/>
      </w:pPr>
      <w:bookmarkStart w:id="4" w:name="P36"/>
      <w:bookmarkEnd w:id="4"/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14ECD" w:rsidRDefault="00F14ECD">
      <w:pPr>
        <w:pStyle w:val="ConsPlusNormal"/>
        <w:spacing w:before="220"/>
        <w:ind w:firstLine="540"/>
        <w:jc w:val="both"/>
      </w:pPr>
      <w:bookmarkStart w:id="5" w:name="P37"/>
      <w:bookmarkEnd w:id="5"/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Единый налог не применяется в отношении видов предпринимательской деятельности, указанных в пункте 3 настоящего решения, в следующих случаях: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- 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- в случае осуществления таких видов деятельности налогоплательщиками, отнесенными к категории крупнейших в соответствии со </w:t>
      </w:r>
      <w:hyperlink r:id="rId17" w:history="1">
        <w:r>
          <w:rPr>
            <w:color w:val="0000FF"/>
          </w:rPr>
          <w:t>статьей 83</w:t>
        </w:r>
      </w:hyperlink>
      <w:r>
        <w:t xml:space="preserve"> Налогового кодекса Российской Федерации;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- в случае установления в муниципальном образовании в соответствии с </w:t>
      </w:r>
      <w:hyperlink r:id="rId18" w:history="1">
        <w:r>
          <w:rPr>
            <w:color w:val="0000FF"/>
          </w:rPr>
          <w:t>главой 33</w:t>
        </w:r>
      </w:hyperlink>
      <w:r>
        <w:t xml:space="preserve"> Налогового кодекса Российской Федерации торгового сбора в отношении таких видов </w:t>
      </w:r>
      <w:r>
        <w:lastRenderedPageBreak/>
        <w:t>деятельности.</w:t>
      </w:r>
    </w:p>
    <w:p w:rsidR="00F14ECD" w:rsidRDefault="00F14ECD">
      <w:pPr>
        <w:pStyle w:val="ConsPlusNormal"/>
        <w:spacing w:before="220"/>
        <w:ind w:firstLine="540"/>
        <w:jc w:val="both"/>
      </w:pPr>
      <w:proofErr w:type="gramStart"/>
      <w:r>
        <w:t xml:space="preserve">Единый налог не применяется в отношении видов предпринимательской деятельности, указанных в </w:t>
      </w:r>
      <w:hyperlink w:anchor="P29" w:history="1">
        <w:r>
          <w:rPr>
            <w:color w:val="0000FF"/>
          </w:rPr>
          <w:t>подпунктах 6</w:t>
        </w:r>
      </w:hyperlink>
      <w:r>
        <w:t xml:space="preserve"> - </w:t>
      </w:r>
      <w:hyperlink w:anchor="P32" w:history="1">
        <w:r>
          <w:rPr>
            <w:color w:val="0000FF"/>
          </w:rPr>
          <w:t>9 пункта 3</w:t>
        </w:r>
      </w:hyperlink>
      <w:r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19" w:history="1">
        <w:r>
          <w:rPr>
            <w:color w:val="0000FF"/>
          </w:rPr>
          <w:t>главой 26.1</w:t>
        </w:r>
      </w:hyperlink>
      <w: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F14ECD" w:rsidRDefault="00F14ECD">
      <w:pPr>
        <w:pStyle w:val="ConsPlusNormal"/>
        <w:jc w:val="both"/>
      </w:pPr>
      <w:r>
        <w:t xml:space="preserve">(п. 3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Альметьевского районного Совета от 11.05.2018 N 239)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4. На уплату единого налога не вправе переходить: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F14ECD" w:rsidRDefault="00F14ECD">
      <w:pPr>
        <w:pStyle w:val="ConsPlusNormal"/>
        <w:spacing w:before="220"/>
        <w:ind w:firstLine="540"/>
        <w:jc w:val="both"/>
      </w:pPr>
      <w:proofErr w:type="gramStart"/>
      <w:r>
        <w:t xml:space="preserve"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  <w:proofErr w:type="gramEnd"/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2) организации, в которых доля участия других организаций составляет более 25 процентов. </w:t>
      </w:r>
      <w:proofErr w:type="gramStart"/>
      <w:r>
        <w:t xml:space="preserve"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22" w:history="1">
        <w:r>
          <w:rPr>
            <w:color w:val="0000FF"/>
          </w:rPr>
          <w:t>Законом</w:t>
        </w:r>
      </w:hyperlink>
      <w:r>
        <w:t xml:space="preserve"> Российской Федерации от 19 июня 1992 года N 3085-1 "О</w:t>
      </w:r>
      <w:proofErr w:type="gramEnd"/>
      <w:r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3) образовательные организации, медицинские организации и организации социального обслуживания в части предпринимательской деятельности по оказанию услуг общественного питания, предусмотренной </w:t>
      </w:r>
      <w:hyperlink w:anchor="P31" w:history="1">
        <w:r>
          <w:rPr>
            <w:color w:val="0000FF"/>
          </w:rPr>
          <w:t>подпунктом 8 пункта 3</w:t>
        </w:r>
      </w:hyperlink>
      <w:r>
        <w:t xml:space="preserve"> настоящего решения, если оказание услуг общественного питания является неотъемлемой частью процесса функционирования указанных организаций и эти услуги оказываются непосредственно указанными организациями;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4) организации и индивидуальные предприниматели, осуществляющие виды предпринимательской деятельности, указанные в </w:t>
      </w:r>
      <w:hyperlink w:anchor="P36" w:history="1">
        <w:r>
          <w:rPr>
            <w:color w:val="0000FF"/>
          </w:rPr>
          <w:t>подпунктах 13</w:t>
        </w:r>
      </w:hyperlink>
      <w:r>
        <w:t xml:space="preserve"> и </w:t>
      </w:r>
      <w:hyperlink w:anchor="P37" w:history="1">
        <w:r>
          <w:rPr>
            <w:color w:val="0000FF"/>
          </w:rPr>
          <w:t>14 пункта 3</w:t>
        </w:r>
      </w:hyperlink>
      <w:r>
        <w:t xml:space="preserve"> настоящего решения, в части оказания услуг по передаче во временное владение и (или) в пользование автозаправочных станций и автогазозаправочных станций.</w:t>
      </w:r>
    </w:p>
    <w:p w:rsidR="00F14ECD" w:rsidRDefault="00F14ECD">
      <w:pPr>
        <w:pStyle w:val="ConsPlusNormal"/>
        <w:jc w:val="both"/>
      </w:pPr>
      <w:r>
        <w:t xml:space="preserve">(п. 4 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Альметьевского районного Совета от 11.05.2018 N 239)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5. Для администрирования ЕНВД с 1 января 2009 года установить зональное деление района: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1) 1 зона - включает центральную часть города с границей по улицам Бигаш, Советская, Шоссейная, Герцена, Заводская, Тухватуллина, Шевченко, кольцо на г. Чистополь;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2) 2 зона - пригород, включая пос. Н. Мактама, Абдрахманово, Кульшарипово, Калейкино, Р. </w:t>
      </w:r>
      <w:r>
        <w:lastRenderedPageBreak/>
        <w:t>Акташ, Урсалу;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3) 3 зона - все остальные населенные пункты района.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6. Установить значения корректирующего </w:t>
      </w:r>
      <w:hyperlink w:anchor="P74" w:history="1">
        <w:r>
          <w:rPr>
            <w:color w:val="0000FF"/>
          </w:rPr>
          <w:t>коэффициента</w:t>
        </w:r>
      </w:hyperlink>
      <w:r>
        <w:t xml:space="preserve"> базовой доходности К</w:t>
      </w:r>
      <w:proofErr w:type="gramStart"/>
      <w:r>
        <w:t>2</w:t>
      </w:r>
      <w:proofErr w:type="gramEnd"/>
      <w:r>
        <w:t>, применяемого для расчета единого налога на вмененный доход для организаций и индивидуальных предпринимателей, согласно приложению.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 xml:space="preserve">7. </w:t>
      </w:r>
      <w:hyperlink r:id="rId24" w:history="1">
        <w:r>
          <w:rPr>
            <w:color w:val="0000FF"/>
          </w:rPr>
          <w:t>Решение</w:t>
        </w:r>
      </w:hyperlink>
      <w:r>
        <w:t xml:space="preserve"> N 8 от 28.11.2005 Совета Альметьевского муниципального района "О введении в действие системы налогообложения в виде единого налога на вмененный доход для отдельных видов деятельности, об установлении перечня видов деятельности и по определению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по единому налогу на вмененный доход для отдельных видов деятельности с 1 января 2006 года" считать утратившим силу.</w:t>
      </w:r>
    </w:p>
    <w:p w:rsidR="00F14ECD" w:rsidRDefault="00F14ECD">
      <w:pPr>
        <w:pStyle w:val="ConsPlusNormal"/>
        <w:spacing w:before="220"/>
        <w:ind w:firstLine="540"/>
        <w:jc w:val="both"/>
      </w:pPr>
      <w:r>
        <w:t>8. Настоящее решение вступает в силу с 1 января 2009 года, но не ранее чем по истечении одного месяца со дня его официального опубликования в газете "Знамя труда".</w:t>
      </w: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right"/>
      </w:pPr>
      <w:r>
        <w:t>Глава</w:t>
      </w:r>
    </w:p>
    <w:p w:rsidR="00F14ECD" w:rsidRDefault="00F14ECD">
      <w:pPr>
        <w:pStyle w:val="ConsPlusNormal"/>
        <w:jc w:val="right"/>
      </w:pPr>
      <w:r>
        <w:t>Альметьевского</w:t>
      </w:r>
    </w:p>
    <w:p w:rsidR="00F14ECD" w:rsidRDefault="00F14ECD">
      <w:pPr>
        <w:pStyle w:val="ConsPlusNormal"/>
        <w:jc w:val="right"/>
      </w:pPr>
      <w:r>
        <w:t>муниципального района</w:t>
      </w:r>
    </w:p>
    <w:p w:rsidR="00F14ECD" w:rsidRDefault="00F14ECD">
      <w:pPr>
        <w:pStyle w:val="ConsPlusNormal"/>
        <w:jc w:val="right"/>
      </w:pPr>
      <w:r>
        <w:t>Р.Ф.АБУБАКИРОВ</w:t>
      </w: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right"/>
        <w:outlineLvl w:val="0"/>
      </w:pPr>
      <w:r>
        <w:t>Приложение</w:t>
      </w:r>
    </w:p>
    <w:p w:rsidR="00F14ECD" w:rsidRDefault="00F14ECD">
      <w:pPr>
        <w:pStyle w:val="ConsPlusNormal"/>
        <w:jc w:val="right"/>
      </w:pPr>
      <w:r>
        <w:t>к решению</w:t>
      </w:r>
    </w:p>
    <w:p w:rsidR="00F14ECD" w:rsidRDefault="00F14ECD">
      <w:pPr>
        <w:pStyle w:val="ConsPlusNormal"/>
        <w:jc w:val="right"/>
      </w:pPr>
      <w:r>
        <w:t>Совета Альметьевского</w:t>
      </w:r>
    </w:p>
    <w:p w:rsidR="00F14ECD" w:rsidRDefault="00F14ECD">
      <w:pPr>
        <w:pStyle w:val="ConsPlusNormal"/>
        <w:jc w:val="right"/>
      </w:pPr>
      <w:r>
        <w:t>муниципального района</w:t>
      </w:r>
    </w:p>
    <w:p w:rsidR="00F14ECD" w:rsidRDefault="00F14ECD">
      <w:pPr>
        <w:pStyle w:val="ConsPlusNormal"/>
        <w:jc w:val="right"/>
      </w:pPr>
      <w:r>
        <w:t>от 31 октября 2008 г. N 271</w:t>
      </w: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Title"/>
        <w:jc w:val="center"/>
      </w:pPr>
      <w:bookmarkStart w:id="6" w:name="P74"/>
      <w:bookmarkEnd w:id="6"/>
      <w:r>
        <w:t>КОРРЕКТИРУЮЩИЙ КОЭФФИЦИЕНТ</w:t>
      </w:r>
    </w:p>
    <w:p w:rsidR="00F14ECD" w:rsidRDefault="00F14ECD">
      <w:pPr>
        <w:pStyle w:val="ConsPlusTitle"/>
        <w:jc w:val="center"/>
      </w:pPr>
      <w:r>
        <w:t>БАЗОВОЙ ДОХОДНОСТИ К2</w:t>
      </w:r>
      <w:proofErr w:type="gramStart"/>
      <w:r>
        <w:t xml:space="preserve"> В</w:t>
      </w:r>
      <w:proofErr w:type="gramEnd"/>
      <w:r>
        <w:t xml:space="preserve"> ОТНОШЕНИИ ВИДОВ ДЕЯТЕЛЬНОСТИ</w:t>
      </w:r>
    </w:p>
    <w:p w:rsidR="00F14ECD" w:rsidRDefault="00F14ECD">
      <w:pPr>
        <w:pStyle w:val="ConsPlusTitle"/>
        <w:jc w:val="center"/>
      </w:pPr>
      <w:r>
        <w:t>С 1 ЯНВАРЯ 2009 ГОДА</w:t>
      </w:r>
    </w:p>
    <w:p w:rsidR="00F14ECD" w:rsidRDefault="00F14E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4E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ECD" w:rsidRDefault="00F14E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Альметьевского районного Совета</w:t>
            </w:r>
            <w:proofErr w:type="gramEnd"/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26.05.2010 </w:t>
            </w:r>
            <w:hyperlink r:id="rId25" w:history="1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11.11.2010 </w:t>
            </w:r>
            <w:hyperlink r:id="rId26" w:history="1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,</w:t>
            </w:r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28.04.2011 </w:t>
            </w:r>
            <w:hyperlink r:id="rId27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28.07.2011 </w:t>
            </w:r>
            <w:hyperlink r:id="rId28" w:history="1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22.09.2011 </w:t>
            </w:r>
            <w:hyperlink r:id="rId29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28.11.2012 </w:t>
            </w:r>
            <w:hyperlink r:id="rId30" w:history="1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>,</w:t>
            </w:r>
          </w:p>
          <w:p w:rsidR="00F14ECD" w:rsidRDefault="00F14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11.05.2018 </w:t>
            </w:r>
            <w:hyperlink r:id="rId31" w:history="1">
              <w:r>
                <w:rPr>
                  <w:color w:val="0000FF"/>
                </w:rPr>
                <w:t>N 239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14ECD" w:rsidRDefault="00F14EC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990"/>
        <w:gridCol w:w="1320"/>
        <w:gridCol w:w="990"/>
      </w:tblGrid>
      <w:tr w:rsidR="00F14ECD">
        <w:tc>
          <w:tcPr>
            <w:tcW w:w="5726" w:type="dxa"/>
            <w:vMerge w:val="restart"/>
          </w:tcPr>
          <w:p w:rsidR="00F14ECD" w:rsidRDefault="00F14ECD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3300" w:type="dxa"/>
            <w:gridSpan w:val="3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Зоны</w:t>
            </w:r>
          </w:p>
        </w:tc>
      </w:tr>
      <w:tr w:rsidR="00F14ECD">
        <w:tc>
          <w:tcPr>
            <w:tcW w:w="5726" w:type="dxa"/>
            <w:vMerge/>
          </w:tcPr>
          <w:p w:rsidR="00F14ECD" w:rsidRDefault="00F14ECD"/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3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 Оказание бытовых услуг, в том числе: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</w:pP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</w:pP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1.1. услуги парикмахерских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1.2. обрядовые услуги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1.3. ремонт квартир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lastRenderedPageBreak/>
              <w:t>1.4. ремонт и строительство жилья и других построек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1.5. 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1.6. ремонт и изготовление металлоизделий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1.7. услуги предприятий по прокату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1.8. химическая чистка и крашение, услуги прачечных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1.9. изготовление и ремонт мебели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1.10. ремонт, окраска и пошив обуви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1.11. 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1.12. граверные работы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1.13. изготовление, установка и ремонт надгробных памятников и ограждений; ритуальные услуги; изготовление траурных венков, искусственных цветов, гирлянд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1.14. ремонт и пошив швейных кожаных изделий, головных уборов и изделий текстильной галантереи; ремонт, пошив и вязание трикотажных изделий; ремонт и пошив меховых изделий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0,1875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1.15. другие бытовые услуги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2. Оказание ветеринарных услуг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28.11.2012 N 243)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</w:pP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</w:pP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28.11.2012 N 243)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4.1. на открытых стоянках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4.2. на крытых стоянках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4.3. на открытых многоуровневых, крытых многоуровневых и подземных стоянках (парковках) с количеством машино-мест согласно технической документации не менее 150 единиц, введенных в эксплуатацию с 1 января 2011 года</w:t>
            </w:r>
          </w:p>
          <w:p w:rsidR="00F14ECD" w:rsidRDefault="00F14ECD">
            <w:pPr>
              <w:pStyle w:val="ConsPlusNormal"/>
              <w:jc w:val="both"/>
            </w:pPr>
            <w:r>
              <w:t>до 1 января 2014 года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0,005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lastRenderedPageBreak/>
              <w:t xml:space="preserve">(пп. 4.3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Альметьевского районного Совета от 28.07.2011 N 92)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 xml:space="preserve">5. Оказание автотранспортных </w:t>
            </w:r>
            <w:proofErr w:type="gramStart"/>
            <w:r>
              <w:t>услуг</w:t>
            </w:r>
            <w:proofErr w:type="gramEnd"/>
            <w:r>
              <w:t xml:space="preserve"> но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6.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0,5625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0,375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7.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(в ред. Решений Альметьевского районного Совета от 28.04.2011 </w:t>
            </w:r>
            <w:hyperlink r:id="rId35" w:history="1">
              <w:r>
                <w:rPr>
                  <w:color w:val="0000FF"/>
                </w:rPr>
                <w:t>N 76</w:t>
              </w:r>
            </w:hyperlink>
            <w:r>
              <w:t xml:space="preserve">, от 11.05.2018 </w:t>
            </w:r>
            <w:hyperlink r:id="rId36" w:history="1">
              <w:r>
                <w:rPr>
                  <w:color w:val="0000FF"/>
                </w:rPr>
                <w:t>N 239</w:t>
              </w:r>
            </w:hyperlink>
            <w:r>
              <w:t>)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8.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0,4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8.1. Реализация товаров с использованием торговых автоматов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0,4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(пп. 8.1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Альметьевского районного Совета от 22.09.2011 N 117)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9.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0,4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 xml:space="preserve">10.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</w:t>
            </w:r>
            <w:r>
              <w:lastRenderedPageBreak/>
              <w:t>видом предпринимательской деятельности, в отношении которого единый налог не применяется: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</w:pP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</w:pP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lastRenderedPageBreak/>
              <w:t>ресторан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кафе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0,20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прочие предприятия, оказывающие услуги питания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0,20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top w:val="nil"/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столовая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32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0,11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(в ред. Решений Альметьевского районного Совета от 22.09.2011 </w:t>
            </w:r>
            <w:hyperlink r:id="rId38" w:history="1">
              <w:r>
                <w:rPr>
                  <w:color w:val="0000FF"/>
                </w:rPr>
                <w:t>N 117</w:t>
              </w:r>
            </w:hyperlink>
            <w:r>
              <w:t xml:space="preserve">, от 11.05.2018 </w:t>
            </w:r>
            <w:hyperlink r:id="rId39" w:history="1">
              <w:r>
                <w:rPr>
                  <w:color w:val="0000FF"/>
                </w:rPr>
                <w:t>N 239</w:t>
              </w:r>
            </w:hyperlink>
            <w:r>
              <w:t>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11.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0,20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(п. 11 в ред. </w:t>
            </w:r>
            <w:hyperlink r:id="rId4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22.09.2011 N 117)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12. Распространение наружной рекламы с использованием рекламных конструкций, за исключением рекламных конструкций с автоматической сменой изображения и электронных табло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0,1125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0,1125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</w:tr>
      <w:tr w:rsidR="00F14ECD">
        <w:tc>
          <w:tcPr>
            <w:tcW w:w="5726" w:type="dxa"/>
          </w:tcPr>
          <w:p w:rsidR="00F14ECD" w:rsidRDefault="00F14ECD">
            <w:pPr>
              <w:pStyle w:val="ConsPlusNormal"/>
              <w:jc w:val="both"/>
            </w:pPr>
            <w:r>
              <w:t>14. Распространение наружной рекламы посредством электронных табло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2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0,1125</w:t>
            </w:r>
          </w:p>
        </w:tc>
        <w:tc>
          <w:tcPr>
            <w:tcW w:w="990" w:type="dxa"/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15. Размещение рекламы на транспортных средствах с использованием внешних и внутренних поверхностей транспортных средств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0,1125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28.11.2012 N 243)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16.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0,1125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0,075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11.05.2018 N 239)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(п. 17 в ред. </w:t>
            </w:r>
            <w:hyperlink r:id="rId4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28.04.2011 N 76)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lastRenderedPageBreak/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(п. 18 в ред. </w:t>
            </w:r>
            <w:hyperlink r:id="rId4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Альметьевского районного Совета от 28.04.2011 N 76)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0,35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(п. 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Альметьевского районного Совета от 28.04.2011 N 76)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5726" w:type="dxa"/>
            <w:tcBorders>
              <w:bottom w:val="nil"/>
            </w:tcBorders>
          </w:tcPr>
          <w:p w:rsidR="00F14ECD" w:rsidRDefault="00F14ECD">
            <w:pPr>
              <w:pStyle w:val="ConsPlusNormal"/>
              <w:jc w:val="both"/>
            </w:pPr>
            <w:r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F14ECD" w:rsidRDefault="00F14ECD">
            <w:pPr>
              <w:pStyle w:val="ConsPlusNormal"/>
              <w:jc w:val="center"/>
            </w:pPr>
            <w:r>
              <w:t>0,18</w:t>
            </w:r>
          </w:p>
        </w:tc>
      </w:tr>
      <w:tr w:rsidR="00F14ECD">
        <w:tblPrEx>
          <w:tblBorders>
            <w:insideH w:val="nil"/>
          </w:tblBorders>
        </w:tblPrEx>
        <w:tc>
          <w:tcPr>
            <w:tcW w:w="9026" w:type="dxa"/>
            <w:gridSpan w:val="4"/>
            <w:tcBorders>
              <w:top w:val="nil"/>
            </w:tcBorders>
            <w:vAlign w:val="center"/>
          </w:tcPr>
          <w:p w:rsidR="00F14ECD" w:rsidRDefault="00F14ECD">
            <w:pPr>
              <w:pStyle w:val="ConsPlusNormal"/>
              <w:jc w:val="both"/>
            </w:pPr>
            <w:r>
              <w:t xml:space="preserve">(п. 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Альметьевского районного Совета от 28.04.2011 N 76)</w:t>
            </w:r>
          </w:p>
        </w:tc>
      </w:tr>
    </w:tbl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right"/>
      </w:pPr>
      <w:r>
        <w:t>Глава</w:t>
      </w:r>
    </w:p>
    <w:p w:rsidR="00F14ECD" w:rsidRDefault="00F14ECD">
      <w:pPr>
        <w:pStyle w:val="ConsPlusNormal"/>
        <w:jc w:val="right"/>
      </w:pPr>
      <w:r>
        <w:t>Альметьевского</w:t>
      </w:r>
    </w:p>
    <w:p w:rsidR="00F14ECD" w:rsidRDefault="00F14ECD">
      <w:pPr>
        <w:pStyle w:val="ConsPlusNormal"/>
        <w:jc w:val="right"/>
      </w:pPr>
      <w:r>
        <w:t>муниципального района</w:t>
      </w:r>
    </w:p>
    <w:p w:rsidR="00F14ECD" w:rsidRDefault="00F14ECD">
      <w:pPr>
        <w:pStyle w:val="ConsPlusNormal"/>
        <w:jc w:val="right"/>
      </w:pPr>
      <w:r>
        <w:t>Р.Ф.АБУБАКИРОВ</w:t>
      </w: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jc w:val="both"/>
      </w:pPr>
    </w:p>
    <w:p w:rsidR="00F14ECD" w:rsidRDefault="00F14E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FA2" w:rsidRDefault="00DD5FA2">
      <w:bookmarkStart w:id="7" w:name="_GoBack"/>
      <w:bookmarkEnd w:id="7"/>
    </w:p>
    <w:sectPr w:rsidR="00DD5FA2" w:rsidSect="0091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D"/>
    <w:rsid w:val="00DD5FA2"/>
    <w:rsid w:val="00F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4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8B5AAA16E32DE8BEF9B38316A725B0D9BAC73D5E439A5F64F7C90A4AD1C5C3B291A119A77379414BF7DE38J0O" TargetMode="External"/><Relationship Id="rId13" Type="http://schemas.openxmlformats.org/officeDocument/2006/relationships/hyperlink" Target="consultantplus://offline/ref=7C8B5AAA16E32DE8BEF9B38316A725B0D9BAC73D5943945F6BF994004288C9C1B59EFE0EA03A75404BF7DE8536J7O" TargetMode="External"/><Relationship Id="rId18" Type="http://schemas.openxmlformats.org/officeDocument/2006/relationships/hyperlink" Target="consultantplus://offline/ref=7C8B5AAA16E32DE8BEF9AD8E00CB78BBD9B198365D48970C31A892571DD8CF94F5DEF85BE27D7134J9O" TargetMode="External"/><Relationship Id="rId26" Type="http://schemas.openxmlformats.org/officeDocument/2006/relationships/hyperlink" Target="consultantplus://offline/ref=7C8B5AAA16E32DE8BEF9B38316A725B0D9BAC73D5D4799596AF7C90A4AD1C5C3B291A119A77379414BF7DE38J3O" TargetMode="External"/><Relationship Id="rId39" Type="http://schemas.openxmlformats.org/officeDocument/2006/relationships/hyperlink" Target="consultantplus://offline/ref=7C8B5AAA16E32DE8BEF9B38316A725B0D9BAC73D5943945F6BF994004288C9C1B59EFE0EA03A75404BF7DE8636J5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8B5AAA16E32DE8BEF9AD8E00CB78BBDBB591365848970C31A892571D3DJ8O" TargetMode="External"/><Relationship Id="rId34" Type="http://schemas.openxmlformats.org/officeDocument/2006/relationships/hyperlink" Target="consultantplus://offline/ref=7C8B5AAA16E32DE8BEF9B38316A725B0D9BAC73D5E429F5B6BF7C90A4AD1C5C3B291A119A77379414BF7DE38J3O" TargetMode="External"/><Relationship Id="rId42" Type="http://schemas.openxmlformats.org/officeDocument/2006/relationships/hyperlink" Target="consultantplus://offline/ref=7C8B5AAA16E32DE8BEF9B38316A725B0D9BAC73D5943945F6BF994004288C9C1B59EFE0EA03A75404BF7DE8636JBO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C8B5AAA16E32DE8BEF9B38316A725B0D9BAC73D5D4799596AF7C90A4AD1C5C3B291A119A77379414BF7DE38J0O" TargetMode="External"/><Relationship Id="rId12" Type="http://schemas.openxmlformats.org/officeDocument/2006/relationships/hyperlink" Target="consultantplus://offline/ref=7C8B5AAA16E32DE8BEF9B38316A725B0D9BAC73D59409F5B69FA94004288C9C1B59EFE0EA03A75404BF7DE8536J7O" TargetMode="External"/><Relationship Id="rId17" Type="http://schemas.openxmlformats.org/officeDocument/2006/relationships/hyperlink" Target="consultantplus://offline/ref=7C8B5AAA16E32DE8BEF9AD8E00CB78BBD9B19A355941970C31A892571DD8CF94F5DEF85BE37F7B4034J2O" TargetMode="External"/><Relationship Id="rId25" Type="http://schemas.openxmlformats.org/officeDocument/2006/relationships/hyperlink" Target="consultantplus://offline/ref=7C8B5AAA16E32DE8BEF9B38316A725B0D9BAC73D5D439F526BF7C90A4AD1C5C3B291A119A77379414BF7DE38J3O" TargetMode="External"/><Relationship Id="rId33" Type="http://schemas.openxmlformats.org/officeDocument/2006/relationships/hyperlink" Target="consultantplus://offline/ref=7C8B5AAA16E32DE8BEF9B38316A725B0D9BAC73D5F4294536CF7C90A4AD1C5C3B291A119A77379414BF7DF38J3O" TargetMode="External"/><Relationship Id="rId38" Type="http://schemas.openxmlformats.org/officeDocument/2006/relationships/hyperlink" Target="consultantplus://offline/ref=7C8B5AAA16E32DE8BEF9B38316A725B0D9BAC73D5E44985E6EF7C90A4AD1C5C3B291A119A77379414BF7DE38JDO" TargetMode="External"/><Relationship Id="rId46" Type="http://schemas.openxmlformats.org/officeDocument/2006/relationships/hyperlink" Target="consultantplus://offline/ref=7C8B5AAA16E32DE8BEF9B38316A725B0D9BAC73D5E439A5F64F7C90A4AD1C5C3B291A119A77379414BF7DE38JC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C8B5AAA16E32DE8BEF9AD8E00CB78BBDBB298365842970C31A892571D3DJ8O" TargetMode="External"/><Relationship Id="rId20" Type="http://schemas.openxmlformats.org/officeDocument/2006/relationships/hyperlink" Target="consultantplus://offline/ref=7C8B5AAA16E32DE8BEF9B38316A725B0D9BAC73D5943945F6BF994004288C9C1B59EFE0EA03A75404BF7DE8536J4O" TargetMode="External"/><Relationship Id="rId29" Type="http://schemas.openxmlformats.org/officeDocument/2006/relationships/hyperlink" Target="consultantplus://offline/ref=7C8B5AAA16E32DE8BEF9B38316A725B0D9BAC73D5E44985E6EF7C90A4AD1C5C3B291A119A77379414BF7DE38J3O" TargetMode="External"/><Relationship Id="rId41" Type="http://schemas.openxmlformats.org/officeDocument/2006/relationships/hyperlink" Target="consultantplus://offline/ref=7C8B5AAA16E32DE8BEF9B38316A725B0D9BAC73D5F4294536CF7C90A4AD1C5C3B291A119A77379414BF7DF38J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B5AAA16E32DE8BEF9B38316A725B0D9BAC73D5D439F526BF7C90A4AD1C5C3B291A119A77379414BF7DE38J0O" TargetMode="External"/><Relationship Id="rId11" Type="http://schemas.openxmlformats.org/officeDocument/2006/relationships/hyperlink" Target="consultantplus://offline/ref=7C8B5AAA16E32DE8BEF9B38316A725B0D9BAC73D5F4294536CF7C90A4AD1C5C3B291A119A77379414BF7DE38J0O" TargetMode="External"/><Relationship Id="rId24" Type="http://schemas.openxmlformats.org/officeDocument/2006/relationships/hyperlink" Target="consultantplus://offline/ref=7C8B5AAA16E32DE8BEF9B38316A725B0D9BAC73D5B43995D6FF7C90A4AD1C5C33BJ2O" TargetMode="External"/><Relationship Id="rId32" Type="http://schemas.openxmlformats.org/officeDocument/2006/relationships/hyperlink" Target="consultantplus://offline/ref=7C8B5AAA16E32DE8BEF9B38316A725B0D9BAC73D5F4294536CF7C90A4AD1C5C3B291A119A77379414BF7DF38J3O" TargetMode="External"/><Relationship Id="rId37" Type="http://schemas.openxmlformats.org/officeDocument/2006/relationships/hyperlink" Target="consultantplus://offline/ref=7C8B5AAA16E32DE8BEF9B38316A725B0D9BAC73D5E44985E6EF7C90A4AD1C5C3B291A119A77379414BF7DE38J3O" TargetMode="External"/><Relationship Id="rId40" Type="http://schemas.openxmlformats.org/officeDocument/2006/relationships/hyperlink" Target="consultantplus://offline/ref=7C8B5AAA16E32DE8BEF9B38316A725B0D9BAC73D5E44985E6EF7C90A4AD1C5C3B291A119A77379414BF7DF38J0O" TargetMode="External"/><Relationship Id="rId45" Type="http://schemas.openxmlformats.org/officeDocument/2006/relationships/hyperlink" Target="consultantplus://offline/ref=7C8B5AAA16E32DE8BEF9B38316A725B0D9BAC73D5E439A5F64F7C90A4AD1C5C3B291A119A77379414BF7DE38J3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C8B5AAA16E32DE8BEF9AD8E00CB78BBD9B19D315142970C31A892571D3DJ8O" TargetMode="External"/><Relationship Id="rId23" Type="http://schemas.openxmlformats.org/officeDocument/2006/relationships/hyperlink" Target="consultantplus://offline/ref=7C8B5AAA16E32DE8BEF9B38316A725B0D9BAC73D5943945F6BF994004288C9C1B59EFE0EA03A75404BF7DE8736J5O" TargetMode="External"/><Relationship Id="rId28" Type="http://schemas.openxmlformats.org/officeDocument/2006/relationships/hyperlink" Target="consultantplus://offline/ref=7C8B5AAA16E32DE8BEF9B38316A725B0D9BAC73D5E429F5B6BF7C90A4AD1C5C3B291A119A77379414BF7DE38J3O" TargetMode="External"/><Relationship Id="rId36" Type="http://schemas.openxmlformats.org/officeDocument/2006/relationships/hyperlink" Target="consultantplus://offline/ref=7C8B5AAA16E32DE8BEF9B38316A725B0D9BAC73D5943945F6BF994004288C9C1B59EFE0EA03A75404BF7DE8636J7O" TargetMode="External"/><Relationship Id="rId10" Type="http://schemas.openxmlformats.org/officeDocument/2006/relationships/hyperlink" Target="consultantplus://offline/ref=7C8B5AAA16E32DE8BEF9B38316A725B0D9BAC73D5E44985E6EF7C90A4AD1C5C3B291A119A77379414BF7DE38J3O" TargetMode="External"/><Relationship Id="rId19" Type="http://schemas.openxmlformats.org/officeDocument/2006/relationships/hyperlink" Target="consultantplus://offline/ref=7C8B5AAA16E32DE8BEF9AD8E00CB78BBD9B198365D48970C31A892571DD8CF94F5DEF858EB37JDO" TargetMode="External"/><Relationship Id="rId31" Type="http://schemas.openxmlformats.org/officeDocument/2006/relationships/hyperlink" Target="consultantplus://offline/ref=7C8B5AAA16E32DE8BEF9B38316A725B0D9BAC73D5943945F6BF994004288C9C1B59EFE0EA03A75404BF7DE8636J6O" TargetMode="External"/><Relationship Id="rId44" Type="http://schemas.openxmlformats.org/officeDocument/2006/relationships/hyperlink" Target="consultantplus://offline/ref=7C8B5AAA16E32DE8BEF9B38316A725B0D9BAC73D5E439A5F64F7C90A4AD1C5C3B291A119A77379414BF7DF38J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8B5AAA16E32DE8BEF9B38316A725B0D9BAC73D5E429F5B6BF7C90A4AD1C5C3B291A119A77379414BF7DE38J0O" TargetMode="External"/><Relationship Id="rId14" Type="http://schemas.openxmlformats.org/officeDocument/2006/relationships/hyperlink" Target="consultantplus://offline/ref=7C8B5AAA16E32DE8BEF9AD8E00CB78BBD9B198365D48970C31A892571DD8CF94F5DEF85BE37D7F4334JEO" TargetMode="External"/><Relationship Id="rId22" Type="http://schemas.openxmlformats.org/officeDocument/2006/relationships/hyperlink" Target="consultantplus://offline/ref=7C8B5AAA16E32DE8BEF9AD8E00CB78BBDBB591365848970C31A892571D3DJ8O" TargetMode="External"/><Relationship Id="rId27" Type="http://schemas.openxmlformats.org/officeDocument/2006/relationships/hyperlink" Target="consultantplus://offline/ref=7C8B5AAA16E32DE8BEF9B38316A725B0D9BAC73D5E439A5F64F7C90A4AD1C5C3B291A119A77379414BF7DE38J3O" TargetMode="External"/><Relationship Id="rId30" Type="http://schemas.openxmlformats.org/officeDocument/2006/relationships/hyperlink" Target="consultantplus://offline/ref=7C8B5AAA16E32DE8BEF9B38316A725B0D9BAC73D5F4294536CF7C90A4AD1C5C3B291A119A77379414BF7DF38J3O" TargetMode="External"/><Relationship Id="rId35" Type="http://schemas.openxmlformats.org/officeDocument/2006/relationships/hyperlink" Target="consultantplus://offline/ref=7C8B5AAA16E32DE8BEF9B38316A725B0D9BAC73D5E439A5F64F7C90A4AD1C5C3B291A119A77379414BF7DF38J5O" TargetMode="External"/><Relationship Id="rId43" Type="http://schemas.openxmlformats.org/officeDocument/2006/relationships/hyperlink" Target="consultantplus://offline/ref=7C8B5AAA16E32DE8BEF9B38316A725B0D9BAC73D5E439A5F64F7C90A4AD1C5C3B291A119A77379414BF7DF38J6O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2018-09-04T14:09:00Z</dcterms:created>
  <dcterms:modified xsi:type="dcterms:W3CDTF">2018-09-04T14:14:00Z</dcterms:modified>
</cp:coreProperties>
</file>