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8C" w:rsidRDefault="00E342C4">
      <w:r>
        <w:rPr>
          <w:noProof/>
          <w:lang w:eastAsia="ru-RU"/>
        </w:rPr>
        <w:drawing>
          <wp:inline distT="0" distB="0" distL="0" distR="0">
            <wp:extent cx="9648825" cy="6486525"/>
            <wp:effectExtent l="0" t="0" r="9525" b="952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56AB" w:rsidRDefault="00CC56A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CFD2F8B" wp14:editId="5815AAB5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9410065" cy="6188710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A4" w:rsidRDefault="00CC56AB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52A4" w:rsidSect="00CC56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17697"/>
    <w:rsid w:val="00094738"/>
    <w:rsid w:val="000D4F8E"/>
    <w:rsid w:val="00102250"/>
    <w:rsid w:val="0011361C"/>
    <w:rsid w:val="00133E38"/>
    <w:rsid w:val="00136008"/>
    <w:rsid w:val="00162DD3"/>
    <w:rsid w:val="001F6709"/>
    <w:rsid w:val="0028655C"/>
    <w:rsid w:val="002B3D93"/>
    <w:rsid w:val="00373571"/>
    <w:rsid w:val="003B1E7A"/>
    <w:rsid w:val="003F548B"/>
    <w:rsid w:val="0045497F"/>
    <w:rsid w:val="004A5000"/>
    <w:rsid w:val="004B3374"/>
    <w:rsid w:val="004F408C"/>
    <w:rsid w:val="0051141F"/>
    <w:rsid w:val="00522962"/>
    <w:rsid w:val="005347E0"/>
    <w:rsid w:val="005F62FD"/>
    <w:rsid w:val="00625B76"/>
    <w:rsid w:val="0063429F"/>
    <w:rsid w:val="00675658"/>
    <w:rsid w:val="00694527"/>
    <w:rsid w:val="00752D9C"/>
    <w:rsid w:val="007659E1"/>
    <w:rsid w:val="007E36EE"/>
    <w:rsid w:val="008533EE"/>
    <w:rsid w:val="008B1332"/>
    <w:rsid w:val="008D2298"/>
    <w:rsid w:val="00910EAD"/>
    <w:rsid w:val="009B6B7B"/>
    <w:rsid w:val="009E016F"/>
    <w:rsid w:val="00A363AF"/>
    <w:rsid w:val="00A64B8B"/>
    <w:rsid w:val="00A83D16"/>
    <w:rsid w:val="00B1297B"/>
    <w:rsid w:val="00B1720A"/>
    <w:rsid w:val="00B25577"/>
    <w:rsid w:val="00B460D0"/>
    <w:rsid w:val="00B5267A"/>
    <w:rsid w:val="00B9378C"/>
    <w:rsid w:val="00C12185"/>
    <w:rsid w:val="00C84E7C"/>
    <w:rsid w:val="00CC56AB"/>
    <w:rsid w:val="00D20BE6"/>
    <w:rsid w:val="00D33542"/>
    <w:rsid w:val="00D3511C"/>
    <w:rsid w:val="00E252A4"/>
    <w:rsid w:val="00E342C4"/>
    <w:rsid w:val="00EB470E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налоговые органы Удмуртской Республики в</a:t>
            </a:r>
            <a:r>
              <a:rPr lang="en-US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I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полугодии 2021 года, по тематике вопроса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902037294696505E-2"/>
          <c:y val="0.12981912503227847"/>
          <c:w val="0.63805209442600519"/>
          <c:h val="0.84454973965258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9.2135570911483985E-3"/>
                  <c:y val="-9.049375436000015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  <a:r>
                      <a:rPr lang="en-US"/>
                      <a:t>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8973346495557744E-3"/>
                  <c:y val="9.7278589075044033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486673247778872E-3"/>
                  <c:y val="-5.554592019609883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16222441592581E-3"/>
                  <c:y val="-1.08326106813742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162224415926291E-3"/>
                  <c:y val="-7.60083403671457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3162224415926291E-3"/>
                  <c:y val="-4.975699623450152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9486673247777909E-3"/>
                  <c:y val="-5.346159923842262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1.29715063150145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1.25481671619241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11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Sheet1!$D$2:$D$10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Организация работы с налогоплательщиками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Sheet1!$E$2:$E$10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Налогообложение малого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Sheet1!$F$2:$F$10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Учет налогоплательщиков. Получение и отказ от ИНН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Sheet1!$G$2:$G$10</c:f>
              <c:numCache>
                <c:formatCode>General</c:formatCode>
                <c:ptCount val="9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Возврат или зачет излишне уплаченных или излишне взысканных сумм налогов, сборов, взносов, пеней и штрафов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Sheet1!$H$2:$H$10</c:f>
              <c:numCache>
                <c:formatCode>General</c:formatCode>
                <c:ptCount val="9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Налог на имущество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Sheet1!$I$2:$I$10</c:f>
              <c:numCache>
                <c:formatCode>General</c:formatCode>
                <c:ptCount val="9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Транспортный налог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</c:numCache>
            </c:numRef>
          </c:cat>
          <c:val>
            <c:numRef>
              <c:f>Sheet1!$J$2:$J$10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95"/>
        <c:axId val="76617216"/>
        <c:axId val="76618752"/>
      </c:barChart>
      <c:catAx>
        <c:axId val="766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18752"/>
        <c:crosses val="autoZero"/>
        <c:auto val="1"/>
        <c:lblAlgn val="ctr"/>
        <c:lblOffset val="100"/>
        <c:noMultiLvlLbl val="0"/>
      </c:catAx>
      <c:valAx>
        <c:axId val="7661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61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454920676869977"/>
          <c:y val="0.14623561922601083"/>
          <c:w val="0.32616914494770088"/>
          <c:h val="0.74316001248742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в</a:t>
            </a:r>
            <a:r>
              <a:rPr lang="en-US" sz="1351" baseline="0"/>
              <a:t> I </a:t>
            </a:r>
            <a:r>
              <a:rPr lang="ru-RU" sz="1351" baseline="0"/>
              <a:t>полугодии 2021 года в разрезе налоговых инспекций Удмуртской Республики</a:t>
            </a:r>
          </a:p>
        </c:rich>
      </c:tx>
      <c:layout>
        <c:manualLayout>
          <c:xMode val="edge"/>
          <c:yMode val="edge"/>
          <c:x val="0.13238005674391914"/>
          <c:y val="3.1864475795440365E-4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427619624470019E-2"/>
          <c:y val="0.13647432178919355"/>
          <c:w val="0.84717808538156447"/>
          <c:h val="0.810991827914255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explosion val="3"/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335681723995027E-2"/>
                  <c:y val="2.2781506157884112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861816868033196E-2"/>
                  <c:y val="3.925540076721179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369419915627957E-2"/>
                  <c:y val="3.0942539874823378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233468286099867E-2"/>
                  <c:y val="3.8000726832222893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641663213150988E-2"/>
                  <c:y val="-2.4726832222895217E-3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145642725833261E-2"/>
                  <c:y val="-0.10354451847365226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4305142019190922"/>
                  <c:y val="1.0458308096103371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2010796221322539"/>
                  <c:y val="1.6417524732485363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6500897914076526E-3"/>
                  <c:y val="0.13238392893196044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6162878425621899E-2"/>
                  <c:y val="5.7098808802745808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3468711147948609E-2"/>
                  <c:y val="-8.8214819301433468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УФНС России по УР</c:v>
                </c:pt>
                <c:pt idx="1">
                  <c:v>Межрайонная ИНФС № 2</c:v>
                </c:pt>
                <c:pt idx="2">
                  <c:v>Межрайонная ИНФС № 3</c:v>
                </c:pt>
                <c:pt idx="3">
                  <c:v>Межрайонная ИНФС № 5</c:v>
                </c:pt>
                <c:pt idx="4">
                  <c:v>Межрайонная ИНФС № 6</c:v>
                </c:pt>
                <c:pt idx="5">
                  <c:v>Межрайонная ИНФС № 7</c:v>
                </c:pt>
                <c:pt idx="6">
                  <c:v>Межрайонная ИНФС № 8</c:v>
                </c:pt>
                <c:pt idx="7">
                  <c:v>Межрайонная ИНФС № 9</c:v>
                </c:pt>
                <c:pt idx="8">
                  <c:v>Межрайонная ИНФС № 10</c:v>
                </c:pt>
                <c:pt idx="9">
                  <c:v>Межрайонная ИНФС № 11</c:v>
                </c:pt>
                <c:pt idx="10">
                  <c:v>Межрайонная ИНФС №12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22</c:v>
                </c:pt>
                <c:pt idx="7">
                  <c:v>20</c:v>
                </c:pt>
                <c:pt idx="8">
                  <c:v>17</c:v>
                </c:pt>
                <c:pt idx="9">
                  <c:v>11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УФНС  России по Удмуртской Республике, к общему количеству обращений, поступивших в налоговые органы республики</a:t>
            </a:r>
          </a:p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 в </a:t>
            </a:r>
            <a:r>
              <a:rPr lang="en-US" sz="1401" baseline="0"/>
              <a:t>I </a:t>
            </a:r>
            <a:r>
              <a:rPr lang="ru-RU" sz="1401" baseline="0"/>
              <a:t>полугодие 2021 года</a:t>
            </a:r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11721451485231"/>
          <c:y val="0.10192507354893027"/>
          <c:w val="0.80758367436313983"/>
          <c:h val="0.896556074558476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</a:t>
                    </a:r>
                    <a:r>
                      <a:rPr lang="en-US" baseline="0"/>
                      <a:t>1</a:t>
                    </a:r>
                    <a:r>
                      <a:rPr lang="ru-RU" baseline="0"/>
                      <a:t>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8055888709275578"/>
                  <c:y val="-6.321135281818594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99%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150</c:v>
                </c:pt>
                <c:pt idx="1">
                  <c:v>14755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explosion val="72"/>
          <c:dPt>
            <c:idx val="0"/>
            <c:bubble3D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Lbls>
            <c:numFmt formatCode="0%" sourceLinked="0"/>
            <c:spPr>
              <a:noFill/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explosion val="72"/>
          <c:dPt>
            <c:idx val="0"/>
            <c:bubble3D val="0"/>
            <c:spPr>
              <a:solidFill>
                <a:srgbClr val="9999FF"/>
              </a:solidFill>
              <a:ln w="1271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1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22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Захарчук Елена Александровна</cp:lastModifiedBy>
  <cp:revision>3</cp:revision>
  <dcterms:created xsi:type="dcterms:W3CDTF">2016-04-11T14:49:00Z</dcterms:created>
  <dcterms:modified xsi:type="dcterms:W3CDTF">2021-07-07T05:38:00Z</dcterms:modified>
</cp:coreProperties>
</file>