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charts/chart3.xml" ContentType="application/vnd.openxmlformats-officedocument.drawingml.chart+xml"/>
  <Override PartName="/word/theme/themeOverride2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08C" w:rsidRDefault="00E342C4">
      <w:r>
        <w:rPr>
          <w:noProof/>
          <w:lang w:eastAsia="ru-RU"/>
        </w:rPr>
        <w:drawing>
          <wp:inline distT="0" distB="0" distL="0" distR="0" wp14:anchorId="35451A51" wp14:editId="370F5D5C">
            <wp:extent cx="9648825" cy="6486525"/>
            <wp:effectExtent l="0" t="0" r="9525" b="9525"/>
            <wp:docPr id="1" name="Диаграмм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CC56AB" w:rsidRDefault="00CC56AB">
      <w:r>
        <w:rPr>
          <w:noProof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 wp14:anchorId="76A4E95A" wp14:editId="2F992C17">
            <wp:simplePos x="0" y="0"/>
            <wp:positionH relativeFrom="margin">
              <wp:align>left</wp:align>
            </wp:positionH>
            <wp:positionV relativeFrom="paragraph">
              <wp:posOffset>287655</wp:posOffset>
            </wp:positionV>
            <wp:extent cx="9410065" cy="6188710"/>
            <wp:effectExtent l="0" t="0" r="0" b="0"/>
            <wp:wrapSquare wrapText="right"/>
            <wp:docPr id="2" name="Диаграмм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252A4" w:rsidRDefault="00CC56AB">
      <w:bookmarkStart w:id="0" w:name="_GoBack"/>
      <w:r>
        <w:rPr>
          <w:noProof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-45085</wp:posOffset>
            </wp:positionH>
            <wp:positionV relativeFrom="paragraph">
              <wp:posOffset>97155</wp:posOffset>
            </wp:positionV>
            <wp:extent cx="9601200" cy="6366510"/>
            <wp:effectExtent l="0" t="0" r="0" b="0"/>
            <wp:wrapSquare wrapText="right"/>
            <wp:docPr id="3" name="Диаграмма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E252A4" w:rsidSect="00CC56AB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E38"/>
    <w:rsid w:val="000122BC"/>
    <w:rsid w:val="00017697"/>
    <w:rsid w:val="00067D84"/>
    <w:rsid w:val="00084C3F"/>
    <w:rsid w:val="00094738"/>
    <w:rsid w:val="0009791A"/>
    <w:rsid w:val="000D4F8E"/>
    <w:rsid w:val="00102250"/>
    <w:rsid w:val="0011361C"/>
    <w:rsid w:val="00133E38"/>
    <w:rsid w:val="00136008"/>
    <w:rsid w:val="00162DD3"/>
    <w:rsid w:val="001B4E08"/>
    <w:rsid w:val="001B54A9"/>
    <w:rsid w:val="001F387D"/>
    <w:rsid w:val="002A3EF2"/>
    <w:rsid w:val="002B2567"/>
    <w:rsid w:val="002B3D93"/>
    <w:rsid w:val="002C394C"/>
    <w:rsid w:val="00373571"/>
    <w:rsid w:val="0038403A"/>
    <w:rsid w:val="00385AC5"/>
    <w:rsid w:val="003B1E7A"/>
    <w:rsid w:val="003F548B"/>
    <w:rsid w:val="00433C4E"/>
    <w:rsid w:val="0045497F"/>
    <w:rsid w:val="00475C08"/>
    <w:rsid w:val="004B28AA"/>
    <w:rsid w:val="004F408C"/>
    <w:rsid w:val="0051141F"/>
    <w:rsid w:val="00522962"/>
    <w:rsid w:val="00540FCF"/>
    <w:rsid w:val="00590982"/>
    <w:rsid w:val="005E178A"/>
    <w:rsid w:val="005F62FD"/>
    <w:rsid w:val="00625B76"/>
    <w:rsid w:val="0063429F"/>
    <w:rsid w:val="00645041"/>
    <w:rsid w:val="00675658"/>
    <w:rsid w:val="00694527"/>
    <w:rsid w:val="00710B3C"/>
    <w:rsid w:val="00752D9C"/>
    <w:rsid w:val="007659E1"/>
    <w:rsid w:val="007A5233"/>
    <w:rsid w:val="007E36EE"/>
    <w:rsid w:val="008533EE"/>
    <w:rsid w:val="0087444F"/>
    <w:rsid w:val="008C0158"/>
    <w:rsid w:val="008D73C3"/>
    <w:rsid w:val="00910EAD"/>
    <w:rsid w:val="009A18F5"/>
    <w:rsid w:val="009C0DF4"/>
    <w:rsid w:val="009E016F"/>
    <w:rsid w:val="00A04C2E"/>
    <w:rsid w:val="00A363AF"/>
    <w:rsid w:val="00A64B8B"/>
    <w:rsid w:val="00A83D16"/>
    <w:rsid w:val="00B013E7"/>
    <w:rsid w:val="00B1720A"/>
    <w:rsid w:val="00B460D0"/>
    <w:rsid w:val="00B5267A"/>
    <w:rsid w:val="00C12185"/>
    <w:rsid w:val="00C6145A"/>
    <w:rsid w:val="00C622AF"/>
    <w:rsid w:val="00C821C6"/>
    <w:rsid w:val="00CA7000"/>
    <w:rsid w:val="00CB2947"/>
    <w:rsid w:val="00CC56AB"/>
    <w:rsid w:val="00CF3053"/>
    <w:rsid w:val="00CF5273"/>
    <w:rsid w:val="00D20BE6"/>
    <w:rsid w:val="00D3511C"/>
    <w:rsid w:val="00E252A4"/>
    <w:rsid w:val="00E342C4"/>
    <w:rsid w:val="00E931CB"/>
    <w:rsid w:val="00EB470E"/>
    <w:rsid w:val="00F123BE"/>
    <w:rsid w:val="00F82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4B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4B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4B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4B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microsoft.com/office/2007/relationships/stylesWithEffects" Target="stylesWithEffects.xml"/><Relationship Id="rId7" Type="http://schemas.openxmlformats.org/officeDocument/2006/relationships/chart" Target="charts/chart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1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3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351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ru-RU" sz="1351" b="1" baseline="0">
                <a:solidFill>
                  <a:sysClr val="windowText" lastClr="000000"/>
                </a:solidFill>
                <a:latin typeface="Arial" panose="020B0604020202020204" pitchFamily="34" charset="0"/>
                <a:cs typeface="Arial" panose="020B0604020202020204" pitchFamily="34" charset="0"/>
              </a:rPr>
              <a:t>Количество обращений </a:t>
            </a:r>
            <a:r>
              <a:rPr lang="ru-RU" sz="1351" b="1" baseline="0">
                <a:solidFill>
                  <a:schemeClr val="tx1"/>
                </a:solidFill>
                <a:latin typeface="Arial" panose="020B0604020202020204" pitchFamily="34" charset="0"/>
                <a:cs typeface="Arial" panose="020B0604020202020204" pitchFamily="34" charset="0"/>
              </a:rPr>
              <a:t>граждан</a:t>
            </a:r>
            <a:r>
              <a:rPr lang="ru-RU" sz="1351" b="1" baseline="0">
                <a:solidFill>
                  <a:sysClr val="windowText" lastClr="000000"/>
                </a:solidFill>
                <a:latin typeface="Arial" panose="020B0604020202020204" pitchFamily="34" charset="0"/>
                <a:cs typeface="Arial" panose="020B0604020202020204" pitchFamily="34" charset="0"/>
              </a:rPr>
              <a:t>, поступивших в налоговые органы Удмуртской Республики за </a:t>
            </a:r>
            <a:r>
              <a:rPr lang="en-US" sz="1351" b="1" baseline="0">
                <a:solidFill>
                  <a:sysClr val="windowText" lastClr="000000"/>
                </a:solidFill>
                <a:latin typeface="Arial" panose="020B0604020202020204" pitchFamily="34" charset="0"/>
                <a:cs typeface="Arial" panose="020B0604020202020204" pitchFamily="34" charset="0"/>
              </a:rPr>
              <a:t>12</a:t>
            </a:r>
            <a:r>
              <a:rPr lang="ru-RU" sz="1351" b="1" baseline="0">
                <a:solidFill>
                  <a:sysClr val="windowText" lastClr="000000"/>
                </a:solidFill>
                <a:latin typeface="Arial" panose="020B0604020202020204" pitchFamily="34" charset="0"/>
                <a:cs typeface="Arial" panose="020B0604020202020204" pitchFamily="34" charset="0"/>
              </a:rPr>
              <a:t> месяцев 20</a:t>
            </a:r>
            <a:r>
              <a:rPr lang="en-US" sz="1351" b="1" baseline="0">
                <a:solidFill>
                  <a:sysClr val="windowText" lastClr="000000"/>
                </a:solidFill>
                <a:latin typeface="Arial" panose="020B0604020202020204" pitchFamily="34" charset="0"/>
                <a:cs typeface="Arial" panose="020B0604020202020204" pitchFamily="34" charset="0"/>
              </a:rPr>
              <a:t>22</a:t>
            </a:r>
            <a:r>
              <a:rPr lang="ru-RU" sz="1351" b="1" baseline="0">
                <a:solidFill>
                  <a:sysClr val="windowText" lastClr="000000"/>
                </a:solidFill>
                <a:latin typeface="Arial" panose="020B0604020202020204" pitchFamily="34" charset="0"/>
                <a:cs typeface="Arial" panose="020B0604020202020204" pitchFamily="34" charset="0"/>
              </a:rPr>
              <a:t> года, по тематике вопроса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3.0269592411511247E-2"/>
          <c:y val="0.12394540990746201"/>
          <c:w val="0.63805209442600519"/>
          <c:h val="0.8445497396525872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Налог на доходы физических лиц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Pt>
            <c:idx val="1"/>
            <c:invertIfNegative val="0"/>
            <c:bubble3D val="0"/>
            <c:spPr>
              <a:solidFill>
                <a:schemeClr val="accent2">
                  <a:lumMod val="75000"/>
                </a:schemeClr>
              </a:solidFill>
              <a:ln>
                <a:noFill/>
              </a:ln>
              <a:effectLst/>
            </c:spPr>
          </c:dPt>
          <c:dPt>
            <c:idx val="2"/>
            <c:invertIfNegative val="0"/>
            <c:bubble3D val="0"/>
            <c:spPr>
              <a:solidFill>
                <a:schemeClr val="tx2">
                  <a:lumMod val="40000"/>
                  <a:lumOff val="60000"/>
                </a:schemeClr>
              </a:solidFill>
              <a:ln>
                <a:noFill/>
              </a:ln>
              <a:effectLst/>
            </c:spPr>
          </c:dPt>
          <c:dPt>
            <c:idx val="3"/>
            <c:invertIfNegative val="0"/>
            <c:bubble3D val="0"/>
            <c:spPr>
              <a:solidFill>
                <a:schemeClr val="accent4"/>
              </a:solidFill>
              <a:ln>
                <a:noFill/>
              </a:ln>
              <a:effectLst/>
            </c:spPr>
          </c:dPt>
          <c:dPt>
            <c:idx val="4"/>
            <c:invertIfNegative val="0"/>
            <c:bubble3D val="0"/>
            <c:spPr>
              <a:solidFill>
                <a:schemeClr val="accent5"/>
              </a:solidFill>
              <a:ln>
                <a:noFill/>
              </a:ln>
              <a:effectLst/>
            </c:spPr>
          </c:dPt>
          <c:dPt>
            <c:idx val="5"/>
            <c:invertIfNegative val="0"/>
            <c:bubble3D val="0"/>
            <c:spPr>
              <a:solidFill>
                <a:schemeClr val="accent6"/>
              </a:solidFill>
              <a:ln>
                <a:noFill/>
              </a:ln>
              <a:effectLst/>
            </c:spPr>
          </c:dPt>
          <c:dPt>
            <c:idx val="6"/>
            <c:invertIfNegative val="0"/>
            <c:bubble3D val="0"/>
            <c:spPr>
              <a:solidFill>
                <a:schemeClr val="accent5">
                  <a:lumMod val="75000"/>
                </a:schemeClr>
              </a:solidFill>
              <a:ln>
                <a:noFill/>
              </a:ln>
              <a:effectLst/>
            </c:spPr>
          </c:dPt>
          <c:dPt>
            <c:idx val="7"/>
            <c:invertIfNegative val="0"/>
            <c:bubble3D val="0"/>
            <c:spPr>
              <a:solidFill>
                <a:srgbClr val="C00000"/>
              </a:solidFill>
              <a:ln>
                <a:noFill/>
              </a:ln>
              <a:effectLst/>
            </c:spPr>
          </c:dPt>
          <c:dPt>
            <c:idx val="8"/>
            <c:invertIfNegative val="0"/>
            <c:bubble3D val="0"/>
            <c:spPr>
              <a:solidFill>
                <a:schemeClr val="tx1">
                  <a:lumMod val="65000"/>
                  <a:lumOff val="35000"/>
                </a:schemeClr>
              </a:solidFill>
              <a:ln>
                <a:noFill/>
              </a:ln>
              <a:effectLst/>
            </c:spPr>
          </c:dPt>
          <c:dLbls>
            <c:dLbl>
              <c:idx val="0"/>
              <c:layout>
                <c:manualLayout>
                  <c:x val="9.2135570911483985E-3"/>
                  <c:y val="-9.0493754360000157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33%  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7.8973346495557744E-3"/>
                  <c:y val="9.7278589075044033E-5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9%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3.9486673247778872E-3"/>
                  <c:y val="-5.5545920196098837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7%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1.316222441592581E-3"/>
                  <c:y val="-1.0832610681374222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7%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1.3162224415926291E-3"/>
                  <c:y val="-7.600834036714574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6%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1.3162224415926291E-3"/>
                  <c:y val="-4.9756996234501527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5%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3.9486673247777909E-3"/>
                  <c:y val="-5.3461599238422627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4%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0"/>
                  <c:y val="-1.2971506315014588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3%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0"/>
                  <c:y val="-1.2548167161924143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3%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Sheet1!$A$2:$A$10</c:f>
              <c:numCache>
                <c:formatCode>General</c:formatCode>
                <c:ptCount val="9"/>
              </c:numCache>
            </c:numRef>
          </c:cat>
          <c:val>
            <c:numRef>
              <c:f>Sheet1!$B$2:$B$10</c:f>
              <c:numCache>
                <c:formatCode>General</c:formatCode>
                <c:ptCount val="9"/>
                <c:pt idx="0">
                  <c:v>33</c:v>
                </c:pt>
                <c:pt idx="1">
                  <c:v>9</c:v>
                </c:pt>
                <c:pt idx="2">
                  <c:v>7</c:v>
                </c:pt>
                <c:pt idx="3">
                  <c:v>7</c:v>
                </c:pt>
                <c:pt idx="4">
                  <c:v>6</c:v>
                </c:pt>
                <c:pt idx="5">
                  <c:v>5</c:v>
                </c:pt>
                <c:pt idx="6">
                  <c:v>4</c:v>
                </c:pt>
                <c:pt idx="7">
                  <c:v>3</c:v>
                </c:pt>
                <c:pt idx="8">
                  <c:v>3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Задолженность по налогам, сборам и взносам в бюджеты государственных внебюджетных фондов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Sheet1!$A$2:$A$10</c:f>
              <c:numCache>
                <c:formatCode>General</c:formatCode>
                <c:ptCount val="9"/>
              </c:numCache>
            </c:numRef>
          </c:cat>
          <c:val>
            <c:numRef>
              <c:f>Sheet1!$C$2:$C$10</c:f>
              <c:numCache>
                <c:formatCode>General</c:formatCode>
                <c:ptCount val="9"/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Возврат или зачет излишне уплаченных или излишне взысканных сумм налогов, сборов, взносов, пеней и штрафов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satMod val="103000"/>
                    <a:lumMod val="102000"/>
                    <a:tint val="94000"/>
                  </a:schemeClr>
                </a:gs>
                <a:gs pos="50000">
                  <a:schemeClr val="accent3">
                    <a:satMod val="110000"/>
                    <a:lumMod val="100000"/>
                    <a:shade val="100000"/>
                  </a:schemeClr>
                </a:gs>
                <a:gs pos="100000">
                  <a:schemeClr val="accent3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Sheet1!$A$2:$A$10</c:f>
              <c:numCache>
                <c:formatCode>General</c:formatCode>
                <c:ptCount val="9"/>
              </c:numCache>
            </c:numRef>
          </c:cat>
          <c:val>
            <c:numRef>
              <c:f>Sheet1!$D$2:$D$10</c:f>
              <c:numCache>
                <c:formatCode>General</c:formatCode>
                <c:ptCount val="9"/>
              </c:numCache>
            </c:numRef>
          </c:val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Налогообложение малого бизнеса, специальных налоговых режимов</c:v>
                </c:pt>
              </c:strCache>
            </c:strRef>
          </c:tx>
          <c:spPr>
            <a:gradFill rotWithShape="1">
              <a:gsLst>
                <a:gs pos="0">
                  <a:schemeClr val="accent4">
                    <a:satMod val="103000"/>
                    <a:lumMod val="102000"/>
                    <a:tint val="94000"/>
                  </a:schemeClr>
                </a:gs>
                <a:gs pos="50000">
                  <a:schemeClr val="accent4">
                    <a:satMod val="110000"/>
                    <a:lumMod val="100000"/>
                    <a:shade val="100000"/>
                  </a:schemeClr>
                </a:gs>
                <a:gs pos="100000">
                  <a:schemeClr val="accent4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Sheet1!$A$2:$A$10</c:f>
              <c:numCache>
                <c:formatCode>General</c:formatCode>
                <c:ptCount val="9"/>
              </c:numCache>
            </c:numRef>
          </c:cat>
          <c:val>
            <c:numRef>
              <c:f>Sheet1!$E$2:$E$10</c:f>
              <c:numCache>
                <c:formatCode>General</c:formatCode>
                <c:ptCount val="9"/>
              </c:numCache>
            </c:numRef>
          </c:val>
        </c:ser>
        <c:ser>
          <c:idx val="4"/>
          <c:order val="4"/>
          <c:tx>
            <c:strRef>
              <c:f>Sheet1!$F$1</c:f>
              <c:strCache>
                <c:ptCount val="1"/>
                <c:pt idx="0">
                  <c:v>Оказание услуг в электронной форме. Пользование информационными ресурсами</c:v>
                </c:pt>
              </c:strCache>
            </c:strRef>
          </c:tx>
          <c:spPr>
            <a:gradFill rotWithShape="1">
              <a:gsLst>
                <a:gs pos="0">
                  <a:schemeClr val="accent5">
                    <a:satMod val="103000"/>
                    <a:lumMod val="102000"/>
                    <a:tint val="94000"/>
                  </a:schemeClr>
                </a:gs>
                <a:gs pos="50000">
                  <a:schemeClr val="accent5">
                    <a:satMod val="110000"/>
                    <a:lumMod val="100000"/>
                    <a:shade val="100000"/>
                  </a:schemeClr>
                </a:gs>
                <a:gs pos="100000">
                  <a:schemeClr val="accent5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Sheet1!$A$2:$A$10</c:f>
              <c:numCache>
                <c:formatCode>General</c:formatCode>
                <c:ptCount val="9"/>
              </c:numCache>
            </c:numRef>
          </c:cat>
          <c:val>
            <c:numRef>
              <c:f>Sheet1!$F$2:$F$10</c:f>
              <c:numCache>
                <c:formatCode>General</c:formatCode>
                <c:ptCount val="9"/>
              </c:numCache>
            </c:numRef>
          </c:val>
        </c:ser>
        <c:ser>
          <c:idx val="5"/>
          <c:order val="5"/>
          <c:tx>
            <c:strRef>
              <c:f>Sheet1!$G$1</c:f>
              <c:strCache>
                <c:ptCount val="1"/>
                <c:pt idx="0">
                  <c:v>Налог на имущество</c:v>
                </c:pt>
              </c:strCache>
            </c:strRef>
          </c:tx>
          <c:spPr>
            <a:gradFill rotWithShape="1">
              <a:gsLst>
                <a:gs pos="0">
                  <a:schemeClr val="accent6">
                    <a:satMod val="103000"/>
                    <a:lumMod val="102000"/>
                    <a:tint val="94000"/>
                  </a:schemeClr>
                </a:gs>
                <a:gs pos="50000">
                  <a:schemeClr val="accent6">
                    <a:satMod val="110000"/>
                    <a:lumMod val="100000"/>
                    <a:shade val="100000"/>
                  </a:schemeClr>
                </a:gs>
                <a:gs pos="100000">
                  <a:schemeClr val="accent6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Sheet1!$A$2:$A$10</c:f>
              <c:numCache>
                <c:formatCode>General</c:formatCode>
                <c:ptCount val="9"/>
              </c:numCache>
            </c:numRef>
          </c:cat>
          <c:val>
            <c:numRef>
              <c:f>Sheet1!$G$2:$G$10</c:f>
              <c:numCache>
                <c:formatCode>General</c:formatCode>
                <c:ptCount val="9"/>
              </c:numCache>
            </c:numRef>
          </c:val>
        </c:ser>
        <c:ser>
          <c:idx val="6"/>
          <c:order val="6"/>
          <c:tx>
            <c:strRef>
              <c:f>Sheet1!$H$1</c:f>
              <c:strCache>
                <c:ptCount val="1"/>
                <c:pt idx="0">
                  <c:v>Учет налогоплательщиков. Получение и отказ от ИНН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lumMod val="60000"/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lumMod val="60000"/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60000"/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Sheet1!$A$2:$A$10</c:f>
              <c:numCache>
                <c:formatCode>General</c:formatCode>
                <c:ptCount val="9"/>
              </c:numCache>
            </c:numRef>
          </c:cat>
          <c:val>
            <c:numRef>
              <c:f>Sheet1!$H$2:$H$10</c:f>
              <c:numCache>
                <c:formatCode>General</c:formatCode>
                <c:ptCount val="9"/>
              </c:numCache>
            </c:numRef>
          </c:val>
        </c:ser>
        <c:ser>
          <c:idx val="7"/>
          <c:order val="7"/>
          <c:tx>
            <c:strRef>
              <c:f>Sheet1!$I$1</c:f>
              <c:strCache>
                <c:ptCount val="1"/>
                <c:pt idx="0">
                  <c:v>Транспортный налог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lumMod val="60000"/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lumMod val="60000"/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60000"/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Sheet1!$A$2:$A$10</c:f>
              <c:numCache>
                <c:formatCode>General</c:formatCode>
                <c:ptCount val="9"/>
              </c:numCache>
            </c:numRef>
          </c:cat>
          <c:val>
            <c:numRef>
              <c:f>Sheet1!$I$2:$I$10</c:f>
              <c:numCache>
                <c:formatCode>General</c:formatCode>
                <c:ptCount val="9"/>
              </c:numCache>
            </c:numRef>
          </c:val>
        </c:ser>
        <c:ser>
          <c:idx val="8"/>
          <c:order val="8"/>
          <c:tx>
            <c:strRef>
              <c:f>Sheet1!$J$1</c:f>
              <c:strCache>
                <c:ptCount val="1"/>
                <c:pt idx="0">
                  <c:v>Организация работы с налогоплательщиками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lumMod val="60000"/>
                    <a:satMod val="103000"/>
                    <a:lumMod val="102000"/>
                    <a:tint val="94000"/>
                  </a:schemeClr>
                </a:gs>
                <a:gs pos="50000">
                  <a:schemeClr val="accent3">
                    <a:lumMod val="60000"/>
                    <a:satMod val="110000"/>
                    <a:lumMod val="100000"/>
                    <a:shade val="100000"/>
                  </a:schemeClr>
                </a:gs>
                <a:gs pos="100000">
                  <a:schemeClr val="accent3">
                    <a:lumMod val="60000"/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Sheet1!$A$2:$A$10</c:f>
              <c:numCache>
                <c:formatCode>General</c:formatCode>
                <c:ptCount val="9"/>
              </c:numCache>
            </c:numRef>
          </c:cat>
          <c:val>
            <c:numRef>
              <c:f>Sheet1!$J$2:$J$10</c:f>
              <c:numCache>
                <c:formatCode>General</c:formatCode>
                <c:ptCount val="9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0"/>
        <c:overlap val="95"/>
        <c:axId val="117149184"/>
        <c:axId val="94960384"/>
      </c:barChart>
      <c:catAx>
        <c:axId val="1171491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4960384"/>
        <c:crosses val="autoZero"/>
        <c:auto val="1"/>
        <c:lblAlgn val="ctr"/>
        <c:lblOffset val="100"/>
        <c:noMultiLvlLbl val="0"/>
      </c:catAx>
      <c:valAx>
        <c:axId val="9496038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714918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legendEntry>
        <c:idx val="2"/>
        <c:txPr>
          <a:bodyPr rot="0" spcFirstLastPara="1" vertOverflow="ellipsis" vert="horz" wrap="square" anchor="t" anchorCtr="0"/>
          <a:lstStyle/>
          <a:p>
            <a:pPr>
              <a:defRPr sz="1100" b="0" i="0" u="none" strike="noStrike" kern="1200" baseline="0">
                <a:solidFill>
                  <a:schemeClr val="tx1"/>
                </a:solidFill>
                <a:effectLst>
                  <a:outerShdw sx="104000" sy="104000" algn="ctr" rotWithShape="0">
                    <a:srgbClr val="000000">
                      <a:alpha val="0"/>
                    </a:srgbClr>
                  </a:outerShdw>
                </a:effectLst>
                <a:latin typeface="Times New Roman" panose="02020603050405020304" pitchFamily="18" charset="0"/>
                <a:ea typeface="+mn-ea"/>
                <a:cs typeface="+mn-cs"/>
              </a:defRPr>
            </a:pPr>
            <a:endParaRPr lang="ru-RU"/>
          </a:p>
        </c:txPr>
      </c:legendEntry>
      <c:legendEntry>
        <c:idx val="3"/>
        <c:txPr>
          <a:bodyPr rot="0" spcFirstLastPara="1" vertOverflow="ellipsis" vert="horz" wrap="square" anchor="t" anchorCtr="0"/>
          <a:lstStyle/>
          <a:p>
            <a:pPr>
              <a:defRPr sz="1100" b="0" i="0" u="none" strike="noStrike" kern="1200" baseline="0">
                <a:solidFill>
                  <a:schemeClr val="tx1"/>
                </a:solidFill>
                <a:effectLst>
                  <a:outerShdw sx="104000" sy="104000" algn="ctr" rotWithShape="0">
                    <a:srgbClr val="000000">
                      <a:alpha val="0"/>
                    </a:srgbClr>
                  </a:outerShdw>
                </a:effectLst>
                <a:latin typeface="Times New Roman" panose="02020603050405020304" pitchFamily="18" charset="0"/>
                <a:ea typeface="+mn-ea"/>
                <a:cs typeface="+mn-cs"/>
              </a:defRPr>
            </a:pPr>
            <a:endParaRPr lang="ru-RU"/>
          </a:p>
        </c:txPr>
      </c:legendEntry>
      <c:legendEntry>
        <c:idx val="4"/>
        <c:txPr>
          <a:bodyPr rot="0" spcFirstLastPara="1" vertOverflow="ellipsis" vert="horz" wrap="square" anchor="t" anchorCtr="0"/>
          <a:lstStyle/>
          <a:p>
            <a:pPr>
              <a:defRPr sz="1100" b="0" i="0" u="none" strike="noStrike" kern="1200" baseline="0">
                <a:solidFill>
                  <a:schemeClr val="tx1"/>
                </a:solidFill>
                <a:effectLst>
                  <a:outerShdw sx="104000" sy="104000" algn="ctr" rotWithShape="0">
                    <a:srgbClr val="000000">
                      <a:alpha val="0"/>
                    </a:srgbClr>
                  </a:outerShdw>
                </a:effectLst>
                <a:latin typeface="Times New Roman" panose="02020603050405020304" pitchFamily="18" charset="0"/>
                <a:ea typeface="+mn-ea"/>
                <a:cs typeface="+mn-cs"/>
              </a:defRPr>
            </a:pPr>
            <a:endParaRPr lang="ru-RU"/>
          </a:p>
        </c:txPr>
      </c:legendEntry>
      <c:legendEntry>
        <c:idx val="5"/>
        <c:txPr>
          <a:bodyPr rot="0" spcFirstLastPara="1" vertOverflow="ellipsis" vert="horz" wrap="square" anchor="t" anchorCtr="0"/>
          <a:lstStyle/>
          <a:p>
            <a:pPr>
              <a:defRPr sz="1100" b="0" i="0" u="none" strike="noStrike" kern="1200" baseline="0">
                <a:solidFill>
                  <a:schemeClr val="tx1"/>
                </a:solidFill>
                <a:effectLst>
                  <a:outerShdw sx="104000" sy="104000" algn="ctr" rotWithShape="0">
                    <a:srgbClr val="000000">
                      <a:alpha val="0"/>
                    </a:srgbClr>
                  </a:outerShdw>
                </a:effectLst>
                <a:latin typeface="Times New Roman" panose="02020603050405020304" pitchFamily="18" charset="0"/>
                <a:ea typeface="+mn-ea"/>
                <a:cs typeface="+mn-cs"/>
              </a:defRPr>
            </a:pPr>
            <a:endParaRPr lang="ru-RU"/>
          </a:p>
        </c:txPr>
      </c:legendEntry>
      <c:legendEntry>
        <c:idx val="6"/>
        <c:txPr>
          <a:bodyPr rot="0" spcFirstLastPara="1" vertOverflow="ellipsis" vert="horz" wrap="square" anchor="t" anchorCtr="0"/>
          <a:lstStyle/>
          <a:p>
            <a:pPr>
              <a:defRPr sz="1100" b="0" i="0" u="none" strike="noStrike" kern="1200" baseline="0">
                <a:solidFill>
                  <a:schemeClr val="tx1"/>
                </a:solidFill>
                <a:effectLst>
                  <a:outerShdw sx="104000" sy="104000" algn="ctr" rotWithShape="0">
                    <a:srgbClr val="000000">
                      <a:alpha val="0"/>
                    </a:srgbClr>
                  </a:outerShdw>
                </a:effectLst>
                <a:latin typeface="Times New Roman" panose="02020603050405020304" pitchFamily="18" charset="0"/>
                <a:ea typeface="+mn-ea"/>
                <a:cs typeface="+mn-cs"/>
              </a:defRPr>
            </a:pPr>
            <a:endParaRPr lang="ru-RU"/>
          </a:p>
        </c:txPr>
      </c:legendEntry>
      <c:legendEntry>
        <c:idx val="7"/>
        <c:txPr>
          <a:bodyPr rot="0" spcFirstLastPara="1" vertOverflow="ellipsis" vert="horz" wrap="square" anchor="t" anchorCtr="0"/>
          <a:lstStyle/>
          <a:p>
            <a:pPr>
              <a:defRPr sz="1100" b="0" i="0" u="none" strike="noStrike" kern="1200" baseline="0">
                <a:solidFill>
                  <a:schemeClr val="tx1"/>
                </a:solidFill>
                <a:effectLst>
                  <a:outerShdw sx="104000" sy="104000" algn="ctr" rotWithShape="0">
                    <a:srgbClr val="000000">
                      <a:alpha val="0"/>
                    </a:srgbClr>
                  </a:outerShdw>
                </a:effectLst>
                <a:latin typeface="Times New Roman" panose="02020603050405020304" pitchFamily="18" charset="0"/>
                <a:ea typeface="+mn-ea"/>
                <a:cs typeface="+mn-cs"/>
              </a:defRPr>
            </a:pPr>
            <a:endParaRPr lang="ru-RU"/>
          </a:p>
        </c:txPr>
      </c:legendEntry>
      <c:legendEntry>
        <c:idx val="8"/>
        <c:txPr>
          <a:bodyPr rot="0" spcFirstLastPara="1" vertOverflow="ellipsis" vert="horz" wrap="square" anchor="t" anchorCtr="0"/>
          <a:lstStyle/>
          <a:p>
            <a:pPr>
              <a:defRPr sz="1100" b="0" i="0" u="none" strike="noStrike" kern="1200" baseline="0">
                <a:solidFill>
                  <a:schemeClr val="tx1"/>
                </a:solidFill>
                <a:effectLst>
                  <a:outerShdw sx="104000" sy="104000" algn="ctr" rotWithShape="0">
                    <a:srgbClr val="000000">
                      <a:alpha val="0"/>
                    </a:srgbClr>
                  </a:outerShdw>
                </a:effectLst>
                <a:latin typeface="Times New Roman" panose="02020603050405020304" pitchFamily="18" charset="0"/>
                <a:ea typeface="+mn-ea"/>
                <a:cs typeface="+mn-cs"/>
              </a:defRPr>
            </a:pPr>
            <a:endParaRPr lang="ru-RU"/>
          </a:p>
        </c:txPr>
      </c:legendEntry>
      <c:layout>
        <c:manualLayout>
          <c:xMode val="edge"/>
          <c:yMode val="edge"/>
          <c:x val="0.66454920676869977"/>
          <c:y val="0.14623561922601083"/>
          <c:w val="0.32616914494770088"/>
          <c:h val="0.7431600124874258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t" anchorCtr="0"/>
        <a:lstStyle/>
        <a:p>
          <a:pPr>
            <a:defRPr sz="1100" b="0" i="0" u="none" strike="noStrike" kern="1200" baseline="0">
              <a:solidFill>
                <a:schemeClr val="tx1"/>
              </a:solidFill>
              <a:effectLst>
                <a:outerShdw sx="104000" sy="104000" algn="ctr" rotWithShape="0">
                  <a:srgbClr val="000000">
                    <a:alpha val="0"/>
                  </a:srgbClr>
                </a:outerShdw>
              </a:effectLst>
              <a:latin typeface="Times New Roman" panose="02020603050405020304" pitchFamily="18" charset="0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351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ru-RU" sz="1351" baseline="0"/>
              <a:t>Активность граждан за </a:t>
            </a:r>
            <a:r>
              <a:rPr lang="en-US" sz="1351" baseline="0"/>
              <a:t>12</a:t>
            </a:r>
            <a:r>
              <a:rPr lang="ru-RU" sz="1351" baseline="0"/>
              <a:t> месяцев 20</a:t>
            </a:r>
            <a:r>
              <a:rPr lang="en-US" sz="1351" baseline="0"/>
              <a:t>22</a:t>
            </a:r>
            <a:r>
              <a:rPr lang="ru-RU" sz="1351" baseline="0"/>
              <a:t> года в разрезе налоговых инспекций Удмуртской Республики</a:t>
            </a:r>
          </a:p>
        </c:rich>
      </c:tx>
      <c:layout>
        <c:manualLayout>
          <c:xMode val="edge"/>
          <c:yMode val="edge"/>
          <c:x val="0.1418267504011391"/>
          <c:y val="3.4191293500584113E-4"/>
        </c:manualLayout>
      </c:layout>
      <c:overlay val="0"/>
      <c:spPr>
        <a:noFill/>
        <a:ln w="25432">
          <a:noFill/>
        </a:ln>
      </c:spPr>
    </c:title>
    <c:autoTitleDeleted val="0"/>
    <c:view3D>
      <c:rotX val="40"/>
      <c:rotY val="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4.1728564293835743E-2"/>
          <c:y val="0.12421764794278614"/>
          <c:w val="0.84717808538156447"/>
          <c:h val="0.81099182791425517"/>
        </c:manualLayout>
      </c:layout>
      <c:pie3DChart>
        <c:varyColors val="1"/>
        <c:ser>
          <c:idx val="0"/>
          <c:order val="0"/>
          <c:tx>
            <c:strRef>
              <c:f>Sheet1!$A$2</c:f>
              <c:strCache>
                <c:ptCount val="1"/>
              </c:strCache>
            </c:strRef>
          </c:tx>
          <c:spPr>
            <a:solidFill>
              <a:srgbClr val="99CCFF"/>
            </a:solidFill>
            <a:ln w="12716">
              <a:solidFill>
                <a:srgbClr val="000000"/>
              </a:solidFill>
              <a:prstDash val="solid"/>
            </a:ln>
          </c:spPr>
          <c:dPt>
            <c:idx val="0"/>
            <c:bubble3D val="0"/>
            <c:spPr>
              <a:solidFill>
                <a:srgbClr val="99FF99"/>
              </a:solidFill>
              <a:ln w="12716">
                <a:solidFill>
                  <a:srgbClr val="000000"/>
                </a:solidFill>
                <a:prstDash val="solid"/>
              </a:ln>
            </c:spPr>
          </c:dPt>
          <c:dPt>
            <c:idx val="1"/>
            <c:bubble3D val="0"/>
            <c:spPr>
              <a:solidFill>
                <a:srgbClr val="66FFCC"/>
              </a:solidFill>
              <a:ln w="12716">
                <a:solidFill>
                  <a:srgbClr val="000000"/>
                </a:solidFill>
                <a:prstDash val="solid"/>
              </a:ln>
              <a:scene3d>
                <a:camera prst="orthographicFront"/>
                <a:lightRig rig="threePt" dir="t"/>
              </a:scene3d>
              <a:sp3d>
                <a:bevelT w="12700"/>
                <a:contourClr>
                  <a:srgbClr val="000000"/>
                </a:contourClr>
              </a:sp3d>
            </c:spPr>
          </c:dPt>
          <c:dPt>
            <c:idx val="2"/>
            <c:bubble3D val="0"/>
            <c:spPr>
              <a:solidFill>
                <a:srgbClr val="19BDA2"/>
              </a:solidFill>
              <a:ln w="12716">
                <a:solidFill>
                  <a:srgbClr val="000000"/>
                </a:solidFill>
                <a:prstDash val="solid"/>
              </a:ln>
            </c:spPr>
          </c:dPt>
          <c:dPt>
            <c:idx val="3"/>
            <c:bubble3D val="0"/>
            <c:spPr>
              <a:solidFill>
                <a:srgbClr val="1FA163"/>
              </a:solidFill>
              <a:ln w="12716">
                <a:solidFill>
                  <a:srgbClr val="000000"/>
                </a:solidFill>
                <a:prstDash val="solid"/>
              </a:ln>
            </c:spPr>
          </c:dPt>
          <c:dPt>
            <c:idx val="4"/>
            <c:bubble3D val="0"/>
            <c:spPr>
              <a:solidFill>
                <a:srgbClr val="5BB616"/>
              </a:solidFill>
              <a:ln w="12716">
                <a:solidFill>
                  <a:srgbClr val="000000"/>
                </a:solidFill>
                <a:prstDash val="solid"/>
              </a:ln>
            </c:spPr>
          </c:dPt>
          <c:dPt>
            <c:idx val="5"/>
            <c:bubble3D val="0"/>
            <c:spPr>
              <a:solidFill>
                <a:srgbClr val="99CC00"/>
              </a:solidFill>
              <a:ln w="12716">
                <a:solidFill>
                  <a:srgbClr val="000000"/>
                </a:solidFill>
                <a:prstDash val="solid"/>
              </a:ln>
            </c:spPr>
          </c:dPt>
          <c:dPt>
            <c:idx val="6"/>
            <c:bubble3D val="0"/>
            <c:spPr>
              <a:solidFill>
                <a:srgbClr val="009900"/>
              </a:solidFill>
              <a:ln w="12716">
                <a:solidFill>
                  <a:srgbClr val="000000"/>
                </a:solidFill>
                <a:prstDash val="solid"/>
              </a:ln>
            </c:spPr>
          </c:dPt>
          <c:dPt>
            <c:idx val="7"/>
            <c:bubble3D val="0"/>
            <c:spPr>
              <a:solidFill>
                <a:srgbClr val="00CC66"/>
              </a:solidFill>
              <a:ln w="12716">
                <a:solidFill>
                  <a:srgbClr val="000000"/>
                </a:solidFill>
                <a:prstDash val="solid"/>
              </a:ln>
            </c:spPr>
          </c:dPt>
          <c:dPt>
            <c:idx val="8"/>
            <c:bubble3D val="0"/>
            <c:spPr>
              <a:solidFill>
                <a:srgbClr val="408280"/>
              </a:solidFill>
              <a:ln w="12716">
                <a:solidFill>
                  <a:srgbClr val="000000"/>
                </a:solidFill>
                <a:prstDash val="solid"/>
              </a:ln>
            </c:spPr>
          </c:dPt>
          <c:dPt>
            <c:idx val="9"/>
            <c:bubble3D val="0"/>
            <c:spPr>
              <a:solidFill>
                <a:srgbClr val="4CB4A3"/>
              </a:solidFill>
              <a:ln w="12716">
                <a:solidFill>
                  <a:srgbClr val="000000"/>
                </a:solidFill>
                <a:prstDash val="solid"/>
              </a:ln>
            </c:spPr>
          </c:dPt>
          <c:dPt>
            <c:idx val="10"/>
            <c:bubble3D val="0"/>
            <c:spPr/>
          </c:dPt>
          <c:dLbls>
            <c:dLbl>
              <c:idx val="0"/>
              <c:layout>
                <c:manualLayout>
                  <c:x val="2.572476011348784E-2"/>
                  <c:y val="0.15976967494447811"/>
                </c:manualLayout>
              </c:layout>
              <c:spPr>
                <a:solidFill>
                  <a:srgbClr val="E7E6E6">
                    <a:lumMod val="75000"/>
                  </a:srgbClr>
                </a:solidFill>
                <a:ln w="25432">
                  <a:noFill/>
                </a:ln>
              </c:spPr>
              <c:txPr>
                <a:bodyPr/>
                <a:lstStyle/>
                <a:p>
                  <a:pPr>
                    <a:defRPr sz="1051" b="1" i="0" u="none" strike="noStrike" baseline="0">
                      <a:solidFill>
                        <a:srgbClr val="FFFFFF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1"/>
              <c:layout>
                <c:manualLayout>
                  <c:x val="-0.13153644256006461"/>
                  <c:y val="1.5740440137290531E-2"/>
                </c:manualLayout>
              </c:layout>
              <c:spPr>
                <a:solidFill>
                  <a:srgbClr val="E7E6E6">
                    <a:lumMod val="75000"/>
                  </a:srgbClr>
                </a:solidFill>
                <a:ln w="25432">
                  <a:noFill/>
                </a:ln>
              </c:spPr>
              <c:txPr>
                <a:bodyPr/>
                <a:lstStyle/>
                <a:p>
                  <a:pPr>
                    <a:defRPr sz="1051" b="1" i="0" u="none" strike="noStrike" baseline="0">
                      <a:solidFill>
                        <a:srgbClr val="FFFFFF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2"/>
              <c:layout>
                <c:manualLayout>
                  <c:x val="-2.8340080971659919E-2"/>
                  <c:y val="-4.9802543912780134E-2"/>
                </c:manualLayout>
              </c:layout>
              <c:spPr>
                <a:solidFill>
                  <a:srgbClr val="E7E6E6">
                    <a:lumMod val="75000"/>
                  </a:srgbClr>
                </a:solidFill>
                <a:ln w="25432">
                  <a:noFill/>
                </a:ln>
              </c:spPr>
              <c:txPr>
                <a:bodyPr/>
                <a:lstStyle/>
                <a:p>
                  <a:pPr>
                    <a:defRPr sz="1051" b="1" i="0" u="none" strike="noStrike" baseline="0">
                      <a:solidFill>
                        <a:srgbClr val="FFFFFF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3"/>
              <c:layout>
                <c:manualLayout>
                  <c:x val="9.975060303696856E-2"/>
                  <c:y val="-2.469000605693519E-2"/>
                </c:manualLayout>
              </c:layout>
              <c:spPr>
                <a:solidFill>
                  <a:srgbClr val="E7E6E6">
                    <a:lumMod val="75000"/>
                  </a:srgbClr>
                </a:solidFill>
                <a:ln w="25432">
                  <a:noFill/>
                </a:ln>
              </c:spPr>
              <c:txPr>
                <a:bodyPr/>
                <a:lstStyle/>
                <a:p>
                  <a:pPr>
                    <a:defRPr sz="1051" b="1" i="0" u="none" strike="noStrike" baseline="0">
                      <a:solidFill>
                        <a:srgbClr val="FFFFFF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4"/>
              <c:layout>
                <c:manualLayout>
                  <c:x val="1.9912121308723049E-2"/>
                  <c:y val="-4.6544235816676764E-2"/>
                </c:manualLayout>
              </c:layout>
              <c:spPr>
                <a:solidFill>
                  <a:srgbClr val="E7E6E6">
                    <a:lumMod val="75000"/>
                  </a:srgbClr>
                </a:solidFill>
                <a:ln w="25432">
                  <a:noFill/>
                </a:ln>
              </c:spPr>
              <c:txPr>
                <a:bodyPr/>
                <a:lstStyle/>
                <a:p>
                  <a:pPr>
                    <a:defRPr sz="1051" b="1" i="0" u="none" strike="noStrike" baseline="0">
                      <a:solidFill>
                        <a:srgbClr val="FFFFFF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5"/>
              <c:layout>
                <c:manualLayout>
                  <c:x val="1.0755841754598483E-3"/>
                  <c:y val="5.0445548152634766E-2"/>
                </c:manualLayout>
              </c:layout>
              <c:spPr>
                <a:solidFill>
                  <a:srgbClr val="E7E6E6">
                    <a:lumMod val="75000"/>
                  </a:srgbClr>
                </a:solidFill>
                <a:ln w="25432">
                  <a:noFill/>
                </a:ln>
              </c:spPr>
              <c:txPr>
                <a:bodyPr/>
                <a:lstStyle/>
                <a:p>
                  <a:pPr>
                    <a:defRPr sz="1051" b="1" i="0" u="none" strike="noStrike" baseline="0">
                      <a:solidFill>
                        <a:srgbClr val="FFFFFF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6"/>
              <c:layout>
                <c:manualLayout>
                  <c:x val="8.1518271754492222E-2"/>
                  <c:y val="6.0950858065818736E-2"/>
                </c:manualLayout>
              </c:layout>
              <c:spPr>
                <a:solidFill>
                  <a:srgbClr val="E7E6E6">
                    <a:lumMod val="75000"/>
                  </a:srgbClr>
                </a:solidFill>
                <a:ln w="25432">
                  <a:noFill/>
                </a:ln>
              </c:spPr>
              <c:txPr>
                <a:bodyPr/>
                <a:lstStyle/>
                <a:p>
                  <a:pPr>
                    <a:defRPr sz="1051" b="1" i="0" u="none" strike="noStrike" baseline="0">
                      <a:solidFill>
                        <a:srgbClr val="FFFFFF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7"/>
              <c:layout>
                <c:manualLayout>
                  <c:x val="4.7636626393360748E-2"/>
                  <c:y val="6.1622451039773873E-2"/>
                </c:manualLayout>
              </c:layout>
              <c:tx>
                <c:rich>
                  <a:bodyPr/>
                  <a:lstStyle/>
                  <a:p>
                    <a:pPr>
                      <a:defRPr sz="1051" b="1" i="0" u="none" strike="noStrike" baseline="0">
                        <a:solidFill>
                          <a:srgbClr val="FFFFFF"/>
                        </a:solidFill>
                        <a:latin typeface="Arial"/>
                        <a:ea typeface="Arial"/>
                        <a:cs typeface="Arial"/>
                      </a:defRPr>
                    </a:pPr>
                    <a:r>
                      <a:rPr lang="ru-RU"/>
                      <a:t>Межрайонная ИФНС № 5
4%</a:t>
                    </a:r>
                  </a:p>
                </c:rich>
              </c:tx>
              <c:spPr>
                <a:solidFill>
                  <a:srgbClr val="E7E6E6">
                    <a:lumMod val="75000"/>
                  </a:srgbClr>
                </a:solidFill>
                <a:ln w="25432">
                  <a:noFill/>
                </a:ln>
              </c:sp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8"/>
              <c:layout>
                <c:manualLayout>
                  <c:x val="2.0186064798580341E-2"/>
                  <c:y val="4.6408075913587726E-2"/>
                </c:manualLayout>
              </c:layout>
              <c:tx>
                <c:rich>
                  <a:bodyPr/>
                  <a:lstStyle/>
                  <a:p>
                    <a:pPr>
                      <a:defRPr sz="1051" b="1" i="0" u="none" strike="noStrike" baseline="0">
                        <a:solidFill>
                          <a:srgbClr val="FFFFFF"/>
                        </a:solidFill>
                        <a:latin typeface="Arial"/>
                        <a:ea typeface="Arial"/>
                        <a:cs typeface="Arial"/>
                      </a:defRPr>
                    </a:pPr>
                    <a:r>
                      <a:rPr lang="ru-RU"/>
                      <a:t>Межрайонная ИНФС № 6
4%</a:t>
                    </a:r>
                  </a:p>
                </c:rich>
              </c:tx>
              <c:spPr>
                <a:solidFill>
                  <a:srgbClr val="E7E6E6">
                    <a:lumMod val="75000"/>
                  </a:srgbClr>
                </a:solidFill>
                <a:ln w="25432">
                  <a:noFill/>
                </a:ln>
              </c:spPr>
              <c:dLblPos val="bestFit"/>
              <c:showLegendKey val="0"/>
              <c:showVal val="0"/>
              <c:showCatName val="1"/>
              <c:showSerName val="1"/>
              <c:showPercent val="1"/>
              <c:showBubbleSize val="0"/>
            </c:dLbl>
            <c:dLbl>
              <c:idx val="9"/>
              <c:layout>
                <c:manualLayout>
                  <c:x val="-2.1439212810949237E-2"/>
                  <c:y val="-3.8711084191399153E-3"/>
                </c:manualLayout>
              </c:layout>
              <c:spPr>
                <a:solidFill>
                  <a:srgbClr val="E7E6E6">
                    <a:lumMod val="75000"/>
                  </a:srgbClr>
                </a:solidFill>
                <a:ln w="25432">
                  <a:noFill/>
                </a:ln>
              </c:spPr>
              <c:txPr>
                <a:bodyPr/>
                <a:lstStyle/>
                <a:p>
                  <a:pPr>
                    <a:defRPr sz="1051" b="1" i="0" u="none" strike="noStrike" baseline="0">
                      <a:solidFill>
                        <a:srgbClr val="FFFFFF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10"/>
              <c:layout>
                <c:manualLayout>
                  <c:x val="0.11249290701010552"/>
                  <c:y val="2.6898122350090856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Межрайонная</a:t>
                    </a:r>
                    <a:r>
                      <a:rPr lang="ru-RU" baseline="0"/>
                      <a:t> ИФНС №12 </a:t>
                    </a:r>
                    <a:r>
                      <a:rPr lang="en-US" baseline="0"/>
                      <a:t>7</a:t>
                    </a:r>
                    <a:r>
                      <a:rPr lang="ru-RU" baseline="0"/>
                      <a:t>%</a:t>
                    </a:r>
                    <a:endParaRPr lang="en-US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solidFill>
                <a:srgbClr val="E7E6E6">
                  <a:lumMod val="75000"/>
                </a:srgbClr>
              </a:solidFill>
              <a:ln w="25432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51" b="1" i="0" u="none" strike="noStrike" baseline="0">
                    <a:solidFill>
                      <a:srgbClr val="FFFFFF"/>
                    </a:solidFill>
                    <a:latin typeface="Arial"/>
                    <a:ea typeface="Arial"/>
                    <a:cs typeface="Arial"/>
                  </a:defRPr>
                </a:pPr>
                <a:endParaRPr lang="ru-RU"/>
              </a:p>
            </c:txPr>
            <c:dLblPos val="in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Sheet1!$B$1:$L$1</c:f>
              <c:strCache>
                <c:ptCount val="11"/>
                <c:pt idx="0">
                  <c:v>Межрайонная ИНФС № 9</c:v>
                </c:pt>
                <c:pt idx="1">
                  <c:v>Межрайонная ИНФС № 8</c:v>
                </c:pt>
                <c:pt idx="2">
                  <c:v>Межрайонная ИНФС № 10</c:v>
                </c:pt>
                <c:pt idx="3">
                  <c:v>Межрайонная ИНФС № 11</c:v>
                </c:pt>
                <c:pt idx="4">
                  <c:v>Межрайонная ИНФС № 2</c:v>
                </c:pt>
                <c:pt idx="5">
                  <c:v>УФНС России по УР</c:v>
                </c:pt>
                <c:pt idx="6">
                  <c:v>Межрайонная ИНФС № 5</c:v>
                </c:pt>
                <c:pt idx="7">
                  <c:v>Межрайонная ИНФС № 3</c:v>
                </c:pt>
                <c:pt idx="8">
                  <c:v>Межрайонная ИНФС № 6</c:v>
                </c:pt>
                <c:pt idx="9">
                  <c:v>Межрайонная ИНФС № 7</c:v>
                </c:pt>
                <c:pt idx="10">
                  <c:v>Межрайонная ИНФС №12</c:v>
                </c:pt>
              </c:strCache>
            </c:strRef>
          </c:cat>
          <c:val>
            <c:numRef>
              <c:f>Sheet1!$B$2:$L$2</c:f>
              <c:numCache>
                <c:formatCode>General</c:formatCode>
                <c:ptCount val="11"/>
                <c:pt idx="0">
                  <c:v>21</c:v>
                </c:pt>
                <c:pt idx="1">
                  <c:v>16</c:v>
                </c:pt>
                <c:pt idx="2">
                  <c:v>16</c:v>
                </c:pt>
                <c:pt idx="3">
                  <c:v>11</c:v>
                </c:pt>
                <c:pt idx="4">
                  <c:v>6</c:v>
                </c:pt>
                <c:pt idx="5">
                  <c:v>7</c:v>
                </c:pt>
                <c:pt idx="6">
                  <c:v>4</c:v>
                </c:pt>
                <c:pt idx="7">
                  <c:v>6</c:v>
                </c:pt>
                <c:pt idx="8">
                  <c:v>4</c:v>
                </c:pt>
                <c:pt idx="9">
                  <c:v>2</c:v>
                </c:pt>
                <c:pt idx="10">
                  <c:v>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424">
          <a:noFill/>
        </a:ln>
      </c:spPr>
    </c:plotArea>
    <c:plotVisOnly val="1"/>
    <c:dispBlanksAs val="zero"/>
    <c:showDLblsOverMax val="0"/>
  </c:chart>
  <c:spPr>
    <a:noFill/>
    <a:ln>
      <a:noFill/>
    </a:ln>
  </c:spPr>
  <c:txPr>
    <a:bodyPr/>
    <a:lstStyle/>
    <a:p>
      <a:pPr>
        <a:defRPr sz="1201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ru-RU"/>
    </a:p>
  </c:tx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401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ru-RU" sz="1401" baseline="0"/>
              <a:t>Количество жалоб, поступивших в УФНС  России по Удмуртской Республике, к общему количеству обращений, поступивших в налоговые органы республики</a:t>
            </a:r>
          </a:p>
          <a:p>
            <a:pPr>
              <a:defRPr sz="1401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ru-RU" sz="1401" baseline="0"/>
              <a:t> за </a:t>
            </a:r>
            <a:r>
              <a:rPr lang="en-US" sz="1401" baseline="0"/>
              <a:t>12</a:t>
            </a:r>
            <a:r>
              <a:rPr lang="ru-RU" sz="1401" baseline="0"/>
              <a:t> месяцев 202</a:t>
            </a:r>
            <a:r>
              <a:rPr lang="en-US" sz="1401" baseline="0"/>
              <a:t>2</a:t>
            </a:r>
            <a:r>
              <a:rPr lang="ru-RU" sz="1401" baseline="0"/>
              <a:t> года</a:t>
            </a:r>
          </a:p>
        </c:rich>
      </c:tx>
      <c:layout>
        <c:manualLayout>
          <c:xMode val="edge"/>
          <c:yMode val="edge"/>
          <c:x val="0.13372972685066001"/>
          <c:y val="2.0833445307391184E-2"/>
        </c:manualLayout>
      </c:layout>
      <c:overlay val="0"/>
      <c:spPr>
        <a:noFill/>
        <a:ln w="25427">
          <a:noFill/>
        </a:ln>
      </c:spPr>
    </c:title>
    <c:autoTitleDeleted val="0"/>
    <c:view3D>
      <c:rotX val="30"/>
      <c:rotY val="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1311721451485231"/>
          <c:y val="0.10192507354893027"/>
          <c:w val="0.80758367436313983"/>
          <c:h val="0.89655607455847675"/>
        </c:manualLayout>
      </c:layout>
      <c:pie3DChart>
        <c:varyColors val="1"/>
        <c:ser>
          <c:idx val="0"/>
          <c:order val="0"/>
          <c:tx>
            <c:strRef>
              <c:f>Sheet1!$A$2</c:f>
              <c:strCache>
                <c:ptCount val="1"/>
              </c:strCache>
            </c:strRef>
          </c:tx>
          <c:spPr>
            <a:solidFill>
              <a:srgbClr val="70AD47">
                <a:lumMod val="50000"/>
              </a:srgbClr>
            </a:solidFill>
            <a:ln w="3177">
              <a:solidFill>
                <a:sysClr val="windowText" lastClr="000000"/>
              </a:solidFill>
              <a:prstDash val="solid"/>
            </a:ln>
          </c:spPr>
          <c:explosion val="72"/>
          <c:dPt>
            <c:idx val="0"/>
            <c:bubble3D val="0"/>
          </c:dPt>
          <c:dPt>
            <c:idx val="1"/>
            <c:bubble3D val="0"/>
            <c:explosion val="0"/>
            <c:spPr>
              <a:solidFill>
                <a:srgbClr val="70AD47">
                  <a:lumMod val="60000"/>
                  <a:lumOff val="40000"/>
                </a:srgbClr>
              </a:solidFill>
              <a:ln w="3177">
                <a:solidFill>
                  <a:sysClr val="windowText" lastClr="000000"/>
                </a:solidFill>
                <a:prstDash val="solid"/>
              </a:ln>
              <a:scene3d>
                <a:camera prst="orthographicFront"/>
                <a:lightRig rig="threePt" dir="t"/>
              </a:scene3d>
              <a:sp3d>
                <a:bevelT w="12700"/>
                <a:contourClr>
                  <a:srgbClr val="000000"/>
                </a:contourClr>
              </a:sp3d>
            </c:spPr>
          </c:dPt>
          <c:dLbls>
            <c:dLbl>
              <c:idx val="0"/>
              <c:layout>
                <c:manualLayout>
                  <c:x val="5.217920676582094E-2"/>
                  <c:y val="1.4598990994389174E-2"/>
                </c:manualLayout>
              </c:layout>
              <c:tx>
                <c:rich>
                  <a:bodyPr/>
                  <a:lstStyle/>
                  <a:p>
                    <a:pPr>
                      <a:defRPr sz="1051" b="1" i="0" u="none" strike="noStrike" baseline="0">
                        <a:solidFill>
                          <a:srgbClr val="FFFFFF"/>
                        </a:solidFill>
                        <a:latin typeface="Arial"/>
                        <a:ea typeface="Arial"/>
                        <a:cs typeface="Arial"/>
                      </a:defRPr>
                    </a:pPr>
                    <a:r>
                      <a:rPr lang="ru-RU"/>
                      <a:t>Жалобы</a:t>
                    </a:r>
                    <a:r>
                      <a:rPr lang="ru-RU" baseline="0"/>
                      <a:t>
2.</a:t>
                    </a:r>
                    <a:r>
                      <a:rPr lang="en-US" baseline="0"/>
                      <a:t>0</a:t>
                    </a:r>
                    <a:r>
                      <a:rPr lang="ru-RU" baseline="0"/>
                      <a:t>%</a:t>
                    </a:r>
                  </a:p>
                </c:rich>
              </c:tx>
              <c:numFmt formatCode="0%" sourceLinked="0"/>
              <c:spPr>
                <a:solidFill>
                  <a:srgbClr val="E7E6E6">
                    <a:lumMod val="75000"/>
                  </a:srgbClr>
                </a:solidFill>
                <a:ln w="25427">
                  <a:noFill/>
                </a:ln>
              </c:sp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1"/>
              <c:layout>
                <c:manualLayout>
                  <c:x val="-0.12500333291671875"/>
                  <c:y val="2.6568909425244E-3"/>
                </c:manualLayout>
              </c:layout>
              <c:tx>
                <c:rich>
                  <a:bodyPr/>
                  <a:lstStyle/>
                  <a:p>
                    <a:pPr>
                      <a:defRPr sz="1051" b="1" i="0" u="none" strike="noStrike" baseline="0">
                        <a:solidFill>
                          <a:srgbClr val="FFFFFF"/>
                        </a:solidFill>
                        <a:latin typeface="Arial"/>
                        <a:ea typeface="Arial"/>
                        <a:cs typeface="Arial"/>
                      </a:defRPr>
                    </a:pPr>
                    <a:r>
                      <a:rPr lang="ru-RU"/>
                      <a:t>Обращения</a:t>
                    </a:r>
                    <a:r>
                      <a:rPr lang="ru-RU" baseline="0"/>
                      <a:t>
98.</a:t>
                    </a:r>
                    <a:r>
                      <a:rPr lang="en-US" baseline="0"/>
                      <a:t>0</a:t>
                    </a:r>
                    <a:r>
                      <a:rPr lang="ru-RU" baseline="0"/>
                      <a:t>%</a:t>
                    </a:r>
                  </a:p>
                </c:rich>
              </c:tx>
              <c:numFmt formatCode="0%" sourceLinked="0"/>
              <c:spPr>
                <a:solidFill>
                  <a:srgbClr val="E7E6E6">
                    <a:lumMod val="75000"/>
                  </a:srgbClr>
                </a:solidFill>
                <a:ln w="25427">
                  <a:noFill/>
                </a:ln>
              </c:sp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</c:dLbl>
            <c:numFmt formatCode="0%" sourceLinked="0"/>
            <c:spPr>
              <a:solidFill>
                <a:srgbClr val="E7E6E6">
                  <a:lumMod val="75000"/>
                </a:srgbClr>
              </a:solidFill>
              <a:ln w="25427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51" b="1" i="0" u="none" strike="noStrike" baseline="0">
                    <a:solidFill>
                      <a:srgbClr val="FFFFFF"/>
                    </a:solidFill>
                    <a:latin typeface="Arial"/>
                    <a:ea typeface="Arial"/>
                    <a:cs typeface="Arial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Sheet1!$B$1:$C$1</c:f>
              <c:strCache>
                <c:ptCount val="2"/>
                <c:pt idx="0">
                  <c:v>Жалобы</c:v>
                </c:pt>
                <c:pt idx="1">
                  <c:v>Обращения</c:v>
                </c:pt>
              </c:strCache>
            </c:strRef>
          </c:cat>
          <c:val>
            <c:numRef>
              <c:f>Sheet1!$B$2:$C$2</c:f>
              <c:numCache>
                <c:formatCode>General</c:formatCode>
                <c:ptCount val="2"/>
                <c:pt idx="0">
                  <c:v>509</c:v>
                </c:pt>
                <c:pt idx="1">
                  <c:v>24894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</c:strCache>
            </c:strRef>
          </c:tx>
          <c:spPr>
            <a:solidFill>
              <a:srgbClr val="993366"/>
            </a:solidFill>
            <a:ln w="12714">
              <a:solidFill>
                <a:srgbClr val="000000"/>
              </a:solidFill>
              <a:prstDash val="solid"/>
            </a:ln>
          </c:spPr>
          <c:explosion val="72"/>
          <c:dPt>
            <c:idx val="0"/>
            <c:bubble3D val="0"/>
            <c:spPr>
              <a:solidFill>
                <a:srgbClr val="9999FF"/>
              </a:solidFill>
              <a:ln w="12714">
                <a:solidFill>
                  <a:srgbClr val="000000"/>
                </a:solidFill>
                <a:prstDash val="solid"/>
              </a:ln>
            </c:spPr>
          </c:dPt>
          <c:dPt>
            <c:idx val="1"/>
            <c:bubble3D val="0"/>
          </c:dPt>
          <c:dLbls>
            <c:numFmt formatCode="0%" sourceLinked="0"/>
            <c:spPr>
              <a:noFill/>
              <a:ln w="25427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2227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ru-RU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Sheet1!$B$1:$C$1</c:f>
              <c:strCache>
                <c:ptCount val="2"/>
                <c:pt idx="0">
                  <c:v>Жалобы</c:v>
                </c:pt>
                <c:pt idx="1">
                  <c:v>Обращения</c:v>
                </c:pt>
              </c:strCache>
            </c:strRef>
          </c:cat>
          <c:val>
            <c:numRef>
              <c:f>Sheet1!$B$3:$C$3</c:f>
              <c:numCache>
                <c:formatCode>General</c:formatCode>
                <c:ptCount val="2"/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</c:strCache>
            </c:strRef>
          </c:tx>
          <c:spPr>
            <a:solidFill>
              <a:srgbClr val="FFFFCC"/>
            </a:solidFill>
            <a:ln w="12714">
              <a:solidFill>
                <a:srgbClr val="000000"/>
              </a:solidFill>
              <a:prstDash val="solid"/>
            </a:ln>
          </c:spPr>
          <c:explosion val="72"/>
          <c:dPt>
            <c:idx val="0"/>
            <c:bubble3D val="0"/>
            <c:spPr>
              <a:solidFill>
                <a:srgbClr val="9999FF"/>
              </a:solidFill>
              <a:ln w="12714">
                <a:solidFill>
                  <a:srgbClr val="000000"/>
                </a:solidFill>
                <a:prstDash val="solid"/>
              </a:ln>
            </c:spPr>
          </c:dPt>
          <c:dPt>
            <c:idx val="1"/>
            <c:bubble3D val="0"/>
            <c:spPr>
              <a:solidFill>
                <a:srgbClr val="993366"/>
              </a:solidFill>
              <a:ln w="12714">
                <a:solidFill>
                  <a:srgbClr val="000000"/>
                </a:solidFill>
                <a:prstDash val="solid"/>
              </a:ln>
            </c:spPr>
          </c:dPt>
          <c:dLbls>
            <c:numFmt formatCode="0%" sourceLinked="0"/>
            <c:spPr>
              <a:noFill/>
              <a:ln w="25427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2227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ru-RU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Sheet1!$B$1:$C$1</c:f>
              <c:strCache>
                <c:ptCount val="2"/>
                <c:pt idx="0">
                  <c:v>Жалобы</c:v>
                </c:pt>
                <c:pt idx="1">
                  <c:v>Обращения</c:v>
                </c:pt>
              </c:strCache>
            </c:strRef>
          </c:cat>
          <c:val>
            <c:numRef>
              <c:f>Sheet1!$B$4:$C$4</c:f>
              <c:numCache>
                <c:formatCode>General</c:formatCode>
                <c:ptCount val="2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419">
          <a:noFill/>
        </a:ln>
      </c:spPr>
    </c:plotArea>
    <c:plotVisOnly val="1"/>
    <c:dispBlanksAs val="zero"/>
    <c:showDLblsOverMax val="0"/>
  </c:chart>
  <c:spPr>
    <a:noFill/>
    <a:ln>
      <a:noFill/>
    </a:ln>
  </c:spPr>
  <c:txPr>
    <a:bodyPr/>
    <a:lstStyle/>
    <a:p>
      <a:pPr>
        <a:defRPr sz="1201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681580-7D27-46A4-A593-6E8F3A32E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Муромская Ольга Вячеславовна</dc:creator>
  <cp:lastModifiedBy>Еланцева Марина Николаевна</cp:lastModifiedBy>
  <cp:revision>4</cp:revision>
  <dcterms:created xsi:type="dcterms:W3CDTF">2023-01-17T10:20:00Z</dcterms:created>
  <dcterms:modified xsi:type="dcterms:W3CDTF">2023-01-17T10:27:00Z</dcterms:modified>
</cp:coreProperties>
</file>