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B1BE2" w:rsidRPr="00C7128E" w:rsidTr="00C7128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 марта 2023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B1BE2" w:rsidRPr="00C7128E" w:rsidRDefault="00C7128E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B1BE2" w:rsidRPr="00C7128E">
              <w:rPr>
                <w:rFonts w:ascii="Times New Roman" w:hAnsi="Times New Roman" w:cs="Times New Roman"/>
                <w:color w:val="000000" w:themeColor="text1"/>
              </w:rPr>
              <w:t> 11-ЗС</w:t>
            </w:r>
          </w:p>
        </w:tc>
      </w:tr>
    </w:tbl>
    <w:p w:rsidR="004B1BE2" w:rsidRPr="00C7128E" w:rsidRDefault="004B1BE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4B1BE2" w:rsidRPr="00C7128E" w:rsidRDefault="004B1B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1BE2" w:rsidRPr="00C7128E" w:rsidRDefault="004B1BE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АЛТАЙСКИЙ КРАЙ</w:t>
      </w:r>
    </w:p>
    <w:p w:rsidR="004B1BE2" w:rsidRPr="00C7128E" w:rsidRDefault="004B1BE2">
      <w:pPr>
        <w:pStyle w:val="ConsPlusTitle"/>
        <w:jc w:val="both"/>
        <w:rPr>
          <w:rFonts w:ascii="Times New Roman" w:hAnsi="Times New Roman" w:cs="Times New Roman"/>
          <w:color w:val="000000" w:themeColor="text1"/>
        </w:rPr>
      </w:pPr>
    </w:p>
    <w:p w:rsidR="004B1BE2" w:rsidRPr="00C7128E" w:rsidRDefault="004B1BE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ЗАКОН</w:t>
      </w:r>
    </w:p>
    <w:p w:rsidR="004B1BE2" w:rsidRPr="00C7128E" w:rsidRDefault="004B1BE2">
      <w:pPr>
        <w:pStyle w:val="ConsPlusTitle"/>
        <w:jc w:val="both"/>
        <w:rPr>
          <w:rFonts w:ascii="Times New Roman" w:hAnsi="Times New Roman" w:cs="Times New Roman"/>
          <w:color w:val="000000" w:themeColor="text1"/>
        </w:rPr>
      </w:pPr>
    </w:p>
    <w:p w:rsidR="004B1BE2" w:rsidRPr="00C7128E" w:rsidRDefault="004B1BE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О ВНЕСЕНИИ ИЗМЕНЕНИЙ В ЗАКОН АЛТАЙСКОГО КРАЯ</w:t>
      </w:r>
    </w:p>
    <w:p w:rsidR="004B1BE2" w:rsidRPr="00C7128E" w:rsidRDefault="004B1BE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"О ПРИМЕНЕНИИ ИНДИВИДУАЛЬНЫМИ ПРЕДПРИНИМАТЕЛЯМИ</w:t>
      </w:r>
    </w:p>
    <w:p w:rsidR="004B1BE2" w:rsidRPr="00C7128E" w:rsidRDefault="004B1BE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ПАТЕНТНОЙ СИСТЕМЫ НАЛОГООБЛОЖЕНИЯ НА ТЕРРИТОРИИ</w:t>
      </w:r>
    </w:p>
    <w:p w:rsidR="004B1BE2" w:rsidRPr="00C7128E" w:rsidRDefault="004B1BE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АЛТАЙСКОГО КРАЯ"</w:t>
      </w:r>
    </w:p>
    <w:p w:rsidR="004B1BE2" w:rsidRPr="00C7128E" w:rsidRDefault="004B1B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1BE2" w:rsidRPr="00C7128E" w:rsidRDefault="004B1B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C7128E">
        <w:rPr>
          <w:rFonts w:ascii="Times New Roman" w:hAnsi="Times New Roman" w:cs="Times New Roman"/>
          <w:color w:val="000000" w:themeColor="text1"/>
        </w:rPr>
        <w:t>Принят</w:t>
      </w:r>
      <w:proofErr w:type="gramEnd"/>
    </w:p>
    <w:p w:rsidR="004B1BE2" w:rsidRPr="00C7128E" w:rsidRDefault="004B1B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 xml:space="preserve">Постановлением </w:t>
      </w:r>
      <w:proofErr w:type="gramStart"/>
      <w:r w:rsidRPr="00C7128E">
        <w:rPr>
          <w:rFonts w:ascii="Times New Roman" w:hAnsi="Times New Roman" w:cs="Times New Roman"/>
          <w:color w:val="000000" w:themeColor="text1"/>
        </w:rPr>
        <w:t>Алтайского</w:t>
      </w:r>
      <w:proofErr w:type="gramEnd"/>
      <w:r w:rsidRPr="00C7128E">
        <w:rPr>
          <w:rFonts w:ascii="Times New Roman" w:hAnsi="Times New Roman" w:cs="Times New Roman"/>
          <w:color w:val="000000" w:themeColor="text1"/>
        </w:rPr>
        <w:t xml:space="preserve"> краевого</w:t>
      </w:r>
    </w:p>
    <w:p w:rsidR="004B1BE2" w:rsidRPr="00C7128E" w:rsidRDefault="004B1B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Законодательного Собрания</w:t>
      </w:r>
    </w:p>
    <w:p w:rsidR="004B1BE2" w:rsidRPr="00C7128E" w:rsidRDefault="004B1B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 xml:space="preserve">от 27.02.2023 </w:t>
      </w:r>
      <w:r w:rsidR="00C7128E">
        <w:rPr>
          <w:rFonts w:ascii="Times New Roman" w:hAnsi="Times New Roman" w:cs="Times New Roman"/>
          <w:color w:val="000000" w:themeColor="text1"/>
        </w:rPr>
        <w:t>№</w:t>
      </w:r>
      <w:r w:rsidRPr="00C7128E">
        <w:rPr>
          <w:rFonts w:ascii="Times New Roman" w:hAnsi="Times New Roman" w:cs="Times New Roman"/>
          <w:color w:val="000000" w:themeColor="text1"/>
        </w:rPr>
        <w:t xml:space="preserve"> 29</w:t>
      </w:r>
    </w:p>
    <w:p w:rsidR="004B1BE2" w:rsidRPr="00C7128E" w:rsidRDefault="004B1B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1BE2" w:rsidRPr="00C7128E" w:rsidRDefault="004B1B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Статья 1</w:t>
      </w:r>
    </w:p>
    <w:p w:rsidR="004B1BE2" w:rsidRPr="00C7128E" w:rsidRDefault="004B1B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1BE2" w:rsidRPr="00C7128E" w:rsidRDefault="004B1B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 xml:space="preserve">Внести в закон Алтайского края от 30 октября 2012 года </w:t>
      </w:r>
      <w:r w:rsidR="00C7128E">
        <w:rPr>
          <w:rFonts w:ascii="Times New Roman" w:hAnsi="Times New Roman" w:cs="Times New Roman"/>
          <w:color w:val="000000" w:themeColor="text1"/>
        </w:rPr>
        <w:t>№</w:t>
      </w:r>
      <w:r w:rsidRPr="00C7128E">
        <w:rPr>
          <w:rFonts w:ascii="Times New Roman" w:hAnsi="Times New Roman" w:cs="Times New Roman"/>
          <w:color w:val="000000" w:themeColor="text1"/>
        </w:rPr>
        <w:t xml:space="preserve"> 78-ЗС "О применении индивидуальными предпринимателями патентной системы налогообложения на территории Алтайского края" (Сборник законодательства Алтайского края, 2012, </w:t>
      </w:r>
      <w:r w:rsidR="00C7128E">
        <w:rPr>
          <w:rFonts w:ascii="Times New Roman" w:hAnsi="Times New Roman" w:cs="Times New Roman"/>
          <w:color w:val="000000" w:themeColor="text1"/>
        </w:rPr>
        <w:t>№</w:t>
      </w:r>
      <w:r w:rsidRPr="00C7128E">
        <w:rPr>
          <w:rFonts w:ascii="Times New Roman" w:hAnsi="Times New Roman" w:cs="Times New Roman"/>
          <w:color w:val="000000" w:themeColor="text1"/>
        </w:rPr>
        <w:t xml:space="preserve"> 198, часть I; 2015, </w:t>
      </w:r>
      <w:r w:rsidR="00C7128E">
        <w:rPr>
          <w:rFonts w:ascii="Times New Roman" w:hAnsi="Times New Roman" w:cs="Times New Roman"/>
          <w:color w:val="000000" w:themeColor="text1"/>
        </w:rPr>
        <w:t>№</w:t>
      </w:r>
      <w:r w:rsidRPr="00C7128E">
        <w:rPr>
          <w:rFonts w:ascii="Times New Roman" w:hAnsi="Times New Roman" w:cs="Times New Roman"/>
          <w:color w:val="000000" w:themeColor="text1"/>
        </w:rPr>
        <w:t xml:space="preserve"> 230, часть I, </w:t>
      </w:r>
      <w:r w:rsidR="00C7128E">
        <w:rPr>
          <w:rFonts w:ascii="Times New Roman" w:hAnsi="Times New Roman" w:cs="Times New Roman"/>
          <w:color w:val="000000" w:themeColor="text1"/>
        </w:rPr>
        <w:t>№</w:t>
      </w:r>
      <w:r w:rsidRPr="00C7128E">
        <w:rPr>
          <w:rFonts w:ascii="Times New Roman" w:hAnsi="Times New Roman" w:cs="Times New Roman"/>
          <w:color w:val="000000" w:themeColor="text1"/>
        </w:rPr>
        <w:t xml:space="preserve"> 235; </w:t>
      </w:r>
      <w:proofErr w:type="gramStart"/>
      <w:r w:rsidRPr="00C7128E">
        <w:rPr>
          <w:rFonts w:ascii="Times New Roman" w:hAnsi="Times New Roman" w:cs="Times New Roman"/>
          <w:color w:val="000000" w:themeColor="text1"/>
        </w:rPr>
        <w:t>Официальный интернет-портал правовой информации (</w:t>
      </w:r>
      <w:proofErr w:type="spellStart"/>
      <w:r w:rsidRPr="00C7128E">
        <w:rPr>
          <w:rFonts w:ascii="Times New Roman" w:hAnsi="Times New Roman" w:cs="Times New Roman"/>
          <w:color w:val="000000" w:themeColor="text1"/>
        </w:rPr>
        <w:t>www.pravo.gov.ru</w:t>
      </w:r>
      <w:proofErr w:type="spellEnd"/>
      <w:r w:rsidRPr="00C7128E">
        <w:rPr>
          <w:rFonts w:ascii="Times New Roman" w:hAnsi="Times New Roman" w:cs="Times New Roman"/>
          <w:color w:val="000000" w:themeColor="text1"/>
        </w:rPr>
        <w:t>), 21 декабря 2016 года, 30 ноября 2017 года, 29 ноября 2019 года, 30 ноября 2020 года, 31 марта 2021 года, 23 июня 2021 года, 30 ноября 2021 года) следующие изменения:</w:t>
      </w:r>
      <w:proofErr w:type="gramEnd"/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1) в статье 2: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а) в части 1: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в абзаце первом слова "на один физический показатель" исключить;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в пункте "в" слова "село Зональное Зонального района</w:t>
      </w:r>
      <w:proofErr w:type="gramStart"/>
      <w:r w:rsidRPr="00C7128E">
        <w:rPr>
          <w:rFonts w:ascii="Times New Roman" w:hAnsi="Times New Roman" w:cs="Times New Roman"/>
          <w:color w:val="000000" w:themeColor="text1"/>
        </w:rPr>
        <w:t>,"</w:t>
      </w:r>
      <w:proofErr w:type="gramEnd"/>
      <w:r w:rsidRPr="00C7128E">
        <w:rPr>
          <w:rFonts w:ascii="Times New Roman" w:hAnsi="Times New Roman" w:cs="Times New Roman"/>
          <w:color w:val="000000" w:themeColor="text1"/>
        </w:rPr>
        <w:t xml:space="preserve"> исключить, после слов "</w:t>
      </w:r>
      <w:proofErr w:type="spellStart"/>
      <w:r w:rsidRPr="00C7128E">
        <w:rPr>
          <w:rFonts w:ascii="Times New Roman" w:hAnsi="Times New Roman" w:cs="Times New Roman"/>
          <w:color w:val="000000" w:themeColor="text1"/>
        </w:rPr>
        <w:t>Локтевского</w:t>
      </w:r>
      <w:proofErr w:type="spellEnd"/>
      <w:r w:rsidRPr="00C7128E">
        <w:rPr>
          <w:rFonts w:ascii="Times New Roman" w:hAnsi="Times New Roman" w:cs="Times New Roman"/>
          <w:color w:val="000000" w:themeColor="text1"/>
        </w:rPr>
        <w:t xml:space="preserve"> района," дополнить словами "село Ключи Ключевского района,", после слов "</w:t>
      </w:r>
      <w:proofErr w:type="spellStart"/>
      <w:r w:rsidRPr="00C7128E">
        <w:rPr>
          <w:rFonts w:ascii="Times New Roman" w:hAnsi="Times New Roman" w:cs="Times New Roman"/>
          <w:color w:val="000000" w:themeColor="text1"/>
        </w:rPr>
        <w:t>Родинского</w:t>
      </w:r>
      <w:proofErr w:type="spellEnd"/>
      <w:r w:rsidRPr="00C7128E">
        <w:rPr>
          <w:rFonts w:ascii="Times New Roman" w:hAnsi="Times New Roman" w:cs="Times New Roman"/>
          <w:color w:val="000000" w:themeColor="text1"/>
        </w:rPr>
        <w:t xml:space="preserve"> района," дополнить словами "село Смоленское Смоленского района,";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пункт "г" после слов "Алтайского края" дополнить словами "и населенные пункты Алтайского края с численностью населения, превышающей 1500 человек";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б) часть 2 изложить в следующей редакции: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"2. Размер потенциально возможного к получению индивидуальными предпринимателями годового дохода на территории Алтайского края устанавливается в расчете на единицу физического показателя, характеризующего вид предпринимательской деятельности, указанного в приложении 1 к настоящему Закону</w:t>
      </w:r>
      <w:proofErr w:type="gramStart"/>
      <w:r w:rsidRPr="00C7128E">
        <w:rPr>
          <w:rFonts w:ascii="Times New Roman" w:hAnsi="Times New Roman" w:cs="Times New Roman"/>
          <w:color w:val="000000" w:themeColor="text1"/>
        </w:rPr>
        <w:t>.";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End"/>
      <w:r w:rsidRPr="00C7128E">
        <w:rPr>
          <w:rFonts w:ascii="Times New Roman" w:hAnsi="Times New Roman" w:cs="Times New Roman"/>
          <w:color w:val="000000" w:themeColor="text1"/>
        </w:rPr>
        <w:t>в) дополнить частью 2.1 следующего содержания: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 xml:space="preserve">"2.1. Размер потенциально возможного к получению индивидуальными предпринимателями годового дохода на территории Алтайского края начиная с налогового периода 2024 </w:t>
      </w:r>
      <w:proofErr w:type="gramStart"/>
      <w:r w:rsidRPr="00C7128E">
        <w:rPr>
          <w:rFonts w:ascii="Times New Roman" w:hAnsi="Times New Roman" w:cs="Times New Roman"/>
          <w:color w:val="000000" w:themeColor="text1"/>
        </w:rPr>
        <w:t>года</w:t>
      </w:r>
      <w:proofErr w:type="gramEnd"/>
      <w:r w:rsidRPr="00C7128E">
        <w:rPr>
          <w:rFonts w:ascii="Times New Roman" w:hAnsi="Times New Roman" w:cs="Times New Roman"/>
          <w:color w:val="000000" w:themeColor="text1"/>
        </w:rPr>
        <w:t xml:space="preserve"> подлежит ежегодной индексации нарастающим итогом на уровень инфляции (потребительских цен) (декабрь к декабрю предыдущего года) в соответствии с федеральным законом о федеральном бюджете на финансовый год, предшествующий году, на налоговый </w:t>
      </w:r>
      <w:r w:rsidRPr="00C7128E">
        <w:rPr>
          <w:rFonts w:ascii="Times New Roman" w:hAnsi="Times New Roman" w:cs="Times New Roman"/>
          <w:color w:val="000000" w:themeColor="text1"/>
        </w:rPr>
        <w:lastRenderedPageBreak/>
        <w:t>период которого выдается патент.";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г) в части 5: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пункт 1 дополнить подпунктом "в" следующего содержания: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"в) по земельным участкам - 3000 квадратных метров</w:t>
      </w:r>
      <w:proofErr w:type="gramStart"/>
      <w:r w:rsidRPr="00C7128E">
        <w:rPr>
          <w:rFonts w:ascii="Times New Roman" w:hAnsi="Times New Roman" w:cs="Times New Roman"/>
          <w:color w:val="000000" w:themeColor="text1"/>
        </w:rPr>
        <w:t>;"</w:t>
      </w:r>
      <w:proofErr w:type="gramEnd"/>
      <w:r w:rsidRPr="00C7128E">
        <w:rPr>
          <w:rFonts w:ascii="Times New Roman" w:hAnsi="Times New Roman" w:cs="Times New Roman"/>
          <w:color w:val="000000" w:themeColor="text1"/>
        </w:rPr>
        <w:t>;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пункт 3 изложить в следующей редакции: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"3) общее количество объектов стационарной и нестационарной торговой сети по видам предпринимательской деятельности, указанным в пунктах 45 и 46 приложения 1 к настоящему Закону, не может превышать: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а) по объектам стационарной торговой сети с площадью торгового зала не более 150 квадратных метров - 3 обособленных объекта;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б) по объектам стационарной торговой сети, не имеющих торговых залов, и объектам нестационарной торговой сети - 5 обособленных объектов</w:t>
      </w:r>
      <w:proofErr w:type="gramStart"/>
      <w:r w:rsidRPr="00C7128E">
        <w:rPr>
          <w:rFonts w:ascii="Times New Roman" w:hAnsi="Times New Roman" w:cs="Times New Roman"/>
          <w:color w:val="000000" w:themeColor="text1"/>
        </w:rPr>
        <w:t>;"</w:t>
      </w:r>
      <w:proofErr w:type="gramEnd"/>
      <w:r w:rsidRPr="00C7128E">
        <w:rPr>
          <w:rFonts w:ascii="Times New Roman" w:hAnsi="Times New Roman" w:cs="Times New Roman"/>
          <w:color w:val="000000" w:themeColor="text1"/>
        </w:rPr>
        <w:t>;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дополнить пунктом 4 следующего содержания: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"4) общее количество объектов организации общественного питания по видам предпринимательской деятельности, указанным в пунктах 47 и 48 приложения 1 к настоящему Закону, не может превышать: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а) по объектам организации общественного питания с площадью зала обслуживания посетителей не более 150 квадратных метров, за исключением закусочных и прочих предприятий быстрого питания без предоставления мест для сидения, - 3 обособленных объекта;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б) по объектам организации общественного питания в виде закусочных и прочих предприятий быстрого питания без предоставления мест для сидения - 5 обособленных объектов</w:t>
      </w:r>
      <w:proofErr w:type="gramStart"/>
      <w:r w:rsidRPr="00C7128E">
        <w:rPr>
          <w:rFonts w:ascii="Times New Roman" w:hAnsi="Times New Roman" w:cs="Times New Roman"/>
          <w:color w:val="000000" w:themeColor="text1"/>
        </w:rPr>
        <w:t>.";</w:t>
      </w:r>
      <w:proofErr w:type="gramEnd"/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2) приложение 1 изложить в следующей редакции:</w:t>
      </w:r>
    </w:p>
    <w:p w:rsidR="004B1BE2" w:rsidRPr="00C7128E" w:rsidRDefault="004B1B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1BE2" w:rsidRPr="00C7128E" w:rsidRDefault="004B1B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"Приложение 1</w:t>
      </w:r>
    </w:p>
    <w:p w:rsidR="004B1BE2" w:rsidRPr="00C7128E" w:rsidRDefault="004B1B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к Закону</w:t>
      </w:r>
    </w:p>
    <w:p w:rsidR="004B1BE2" w:rsidRPr="00C7128E" w:rsidRDefault="004B1B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4B1BE2" w:rsidRPr="00C7128E" w:rsidRDefault="004B1B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 xml:space="preserve">"О применении </w:t>
      </w:r>
      <w:proofErr w:type="gramStart"/>
      <w:r w:rsidRPr="00C7128E">
        <w:rPr>
          <w:rFonts w:ascii="Times New Roman" w:hAnsi="Times New Roman" w:cs="Times New Roman"/>
          <w:color w:val="000000" w:themeColor="text1"/>
        </w:rPr>
        <w:t>индивидуальными</w:t>
      </w:r>
      <w:proofErr w:type="gramEnd"/>
    </w:p>
    <w:p w:rsidR="004B1BE2" w:rsidRPr="00C7128E" w:rsidRDefault="004B1B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 xml:space="preserve">предпринимателями </w:t>
      </w:r>
      <w:proofErr w:type="gramStart"/>
      <w:r w:rsidRPr="00C7128E">
        <w:rPr>
          <w:rFonts w:ascii="Times New Roman" w:hAnsi="Times New Roman" w:cs="Times New Roman"/>
          <w:color w:val="000000" w:themeColor="text1"/>
        </w:rPr>
        <w:t>патентной</w:t>
      </w:r>
      <w:proofErr w:type="gramEnd"/>
    </w:p>
    <w:p w:rsidR="004B1BE2" w:rsidRPr="00C7128E" w:rsidRDefault="004B1B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 xml:space="preserve">системы налогообложения </w:t>
      </w:r>
      <w:proofErr w:type="gramStart"/>
      <w:r w:rsidRPr="00C7128E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4B1BE2" w:rsidRPr="00C7128E" w:rsidRDefault="004B1B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территории Алтайского края"</w:t>
      </w:r>
    </w:p>
    <w:p w:rsidR="004B1BE2" w:rsidRPr="00C7128E" w:rsidRDefault="004B1B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1BE2" w:rsidRPr="00C7128E" w:rsidRDefault="004B1BE2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Размеры</w:t>
      </w:r>
    </w:p>
    <w:p w:rsidR="004B1BE2" w:rsidRPr="00C7128E" w:rsidRDefault="004B1BE2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 xml:space="preserve">потенциально </w:t>
      </w:r>
      <w:proofErr w:type="gramStart"/>
      <w:r w:rsidRPr="00C7128E">
        <w:rPr>
          <w:rFonts w:ascii="Times New Roman" w:hAnsi="Times New Roman" w:cs="Times New Roman"/>
          <w:color w:val="000000" w:themeColor="text1"/>
        </w:rPr>
        <w:t>возможного</w:t>
      </w:r>
      <w:proofErr w:type="gramEnd"/>
      <w:r w:rsidRPr="00C7128E">
        <w:rPr>
          <w:rFonts w:ascii="Times New Roman" w:hAnsi="Times New Roman" w:cs="Times New Roman"/>
          <w:color w:val="000000" w:themeColor="text1"/>
        </w:rPr>
        <w:t xml:space="preserve"> к получению индивидуальными</w:t>
      </w:r>
    </w:p>
    <w:p w:rsidR="004B1BE2" w:rsidRPr="00C7128E" w:rsidRDefault="004B1BE2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предпринимателями годового дохода по видам</w:t>
      </w:r>
    </w:p>
    <w:p w:rsidR="004B1BE2" w:rsidRPr="00C7128E" w:rsidRDefault="004B1BE2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предпринимательской деятельности, в отношении которых</w:t>
      </w:r>
    </w:p>
    <w:p w:rsidR="004B1BE2" w:rsidRPr="00C7128E" w:rsidRDefault="004B1BE2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применяется патентная система налогообложения на территории</w:t>
      </w:r>
    </w:p>
    <w:p w:rsidR="004B1BE2" w:rsidRPr="00C7128E" w:rsidRDefault="004B1BE2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4B1BE2" w:rsidRPr="00C7128E" w:rsidRDefault="004B1B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2268"/>
        <w:gridCol w:w="2324"/>
        <w:gridCol w:w="604"/>
        <w:gridCol w:w="604"/>
        <w:gridCol w:w="604"/>
        <w:gridCol w:w="604"/>
        <w:gridCol w:w="604"/>
        <w:gridCol w:w="604"/>
      </w:tblGrid>
      <w:tr w:rsidR="004B1BE2" w:rsidRPr="00C7128E">
        <w:tc>
          <w:tcPr>
            <w:tcW w:w="794" w:type="dxa"/>
            <w:vMerge w:val="restart"/>
          </w:tcPr>
          <w:p w:rsidR="004B1BE2" w:rsidRPr="00C7128E" w:rsidRDefault="00C712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B1BE2" w:rsidRPr="00C712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4B1BE2" w:rsidRPr="00C7128E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="004B1BE2" w:rsidRPr="00C7128E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="004B1BE2" w:rsidRPr="00C7128E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 xml:space="preserve">Виды предпринимательской деятельности, на которые </w:t>
            </w:r>
            <w:r w:rsidRPr="00C7128E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индивидуальные предприниматели могут приобретать патенты</w:t>
            </w:r>
          </w:p>
        </w:tc>
        <w:tc>
          <w:tcPr>
            <w:tcW w:w="2324" w:type="dxa"/>
            <w:vMerge w:val="restart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Физический показатель, характеризующий вид предпринимательской </w:t>
            </w:r>
            <w:r w:rsidRPr="00C7128E">
              <w:rPr>
                <w:rFonts w:ascii="Times New Roman" w:hAnsi="Times New Roman" w:cs="Times New Roman"/>
                <w:color w:val="000000" w:themeColor="text1"/>
              </w:rPr>
              <w:lastRenderedPageBreak/>
              <w:t>деятельности</w:t>
            </w:r>
          </w:p>
        </w:tc>
        <w:tc>
          <w:tcPr>
            <w:tcW w:w="3624" w:type="dxa"/>
            <w:gridSpan w:val="6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lastRenderedPageBreak/>
              <w:t>Потенциально возможный годовой доход на единицу показателя в зависимости от территории действия патентов, тыс. рублей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1-я группа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2-я группа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3-я группа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4-я группа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5-я группа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6-я группа</w:t>
            </w:r>
          </w:p>
        </w:tc>
      </w:tr>
      <w:tr w:rsidR="004B1BE2" w:rsidRPr="00C7128E">
        <w:tc>
          <w:tcPr>
            <w:tcW w:w="79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433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660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Ремонт, чистка, окраска и пошив обуви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433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725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660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Парикмахерские и косметические услуги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1138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1092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1047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569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546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819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808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762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701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1138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1092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1047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934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1043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544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816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805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782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698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683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1043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910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433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725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660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Ремонт мебели и предметов домашнего обихода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721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в области фотографии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1168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1068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550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839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826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708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1168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1068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944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 xml:space="preserve">Ремонт, техническое обслуживание автотранспортных и </w:t>
            </w:r>
            <w:proofErr w:type="spellStart"/>
            <w:r w:rsidRPr="00C7128E">
              <w:rPr>
                <w:rFonts w:ascii="Times New Roman" w:hAnsi="Times New Roman" w:cs="Times New Roman"/>
                <w:color w:val="000000" w:themeColor="text1"/>
              </w:rPr>
              <w:t>мототранспортных</w:t>
            </w:r>
            <w:proofErr w:type="spellEnd"/>
            <w:r w:rsidRPr="00C7128E">
              <w:rPr>
                <w:rFonts w:ascii="Times New Roman" w:hAnsi="Times New Roman" w:cs="Times New Roman"/>
                <w:color w:val="000000" w:themeColor="text1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1207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1141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1097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978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592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570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548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1207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1141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1097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978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Оказание автотранспортных услуг по</w:t>
            </w:r>
            <w:proofErr w:type="gramStart"/>
            <w:r w:rsidRPr="00C7128E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 w:rsidRPr="00C712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C7128E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C7128E">
              <w:rPr>
                <w:rFonts w:ascii="Times New Roman" w:hAnsi="Times New Roman" w:cs="Times New Roman"/>
                <w:color w:val="000000" w:themeColor="text1"/>
              </w:rPr>
              <w:t>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одно транспортное средство грузоподъемностью до 2,5 тонн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одна тонна грузоподъемности транспортных сре</w:t>
            </w:r>
            <w:proofErr w:type="gramStart"/>
            <w:r w:rsidRPr="00C7128E">
              <w:rPr>
                <w:rFonts w:ascii="Times New Roman" w:hAnsi="Times New Roman" w:cs="Times New Roman"/>
                <w:color w:val="000000" w:themeColor="text1"/>
              </w:rPr>
              <w:t>дств гр</w:t>
            </w:r>
            <w:proofErr w:type="gramEnd"/>
            <w:r w:rsidRPr="00C7128E">
              <w:rPr>
                <w:rFonts w:ascii="Times New Roman" w:hAnsi="Times New Roman" w:cs="Times New Roman"/>
                <w:color w:val="000000" w:themeColor="text1"/>
              </w:rPr>
              <w:t>узоподъемностью свыше 2,5 тонн до 4 тонн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372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372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372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372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372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372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одна тонна грузоподъемности транспортных сре</w:t>
            </w:r>
            <w:proofErr w:type="gramStart"/>
            <w:r w:rsidRPr="00C7128E">
              <w:rPr>
                <w:rFonts w:ascii="Times New Roman" w:hAnsi="Times New Roman" w:cs="Times New Roman"/>
                <w:color w:val="000000" w:themeColor="text1"/>
              </w:rPr>
              <w:t>дств гр</w:t>
            </w:r>
            <w:proofErr w:type="gramEnd"/>
            <w:r w:rsidRPr="00C7128E">
              <w:rPr>
                <w:rFonts w:ascii="Times New Roman" w:hAnsi="Times New Roman" w:cs="Times New Roman"/>
                <w:color w:val="000000" w:themeColor="text1"/>
              </w:rPr>
              <w:t>узоподъемностью свыше 4 тонн до 6 тонн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275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одна тонна грузоподъемности транспортных сре</w:t>
            </w:r>
            <w:proofErr w:type="gramStart"/>
            <w:r w:rsidRPr="00C7128E">
              <w:rPr>
                <w:rFonts w:ascii="Times New Roman" w:hAnsi="Times New Roman" w:cs="Times New Roman"/>
                <w:color w:val="000000" w:themeColor="text1"/>
              </w:rPr>
              <w:t>дств гр</w:t>
            </w:r>
            <w:proofErr w:type="gramEnd"/>
            <w:r w:rsidRPr="00C7128E">
              <w:rPr>
                <w:rFonts w:ascii="Times New Roman" w:hAnsi="Times New Roman" w:cs="Times New Roman"/>
                <w:color w:val="000000" w:themeColor="text1"/>
              </w:rPr>
              <w:t>узоподъемностью свыше 6 тонн до 8 тонн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223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одна тонна грузоподъемности транспортных сре</w:t>
            </w:r>
            <w:proofErr w:type="gramStart"/>
            <w:r w:rsidRPr="00C7128E">
              <w:rPr>
                <w:rFonts w:ascii="Times New Roman" w:hAnsi="Times New Roman" w:cs="Times New Roman"/>
                <w:color w:val="000000" w:themeColor="text1"/>
              </w:rPr>
              <w:t>дств гр</w:t>
            </w:r>
            <w:proofErr w:type="gramEnd"/>
            <w:r w:rsidRPr="00C7128E">
              <w:rPr>
                <w:rFonts w:ascii="Times New Roman" w:hAnsi="Times New Roman" w:cs="Times New Roman"/>
                <w:color w:val="000000" w:themeColor="text1"/>
              </w:rPr>
              <w:t>узоподъемностью свыше 8 тонн до 10 тонн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196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196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196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196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196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196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одна тонна грузоподъемности транспортных сре</w:t>
            </w:r>
            <w:proofErr w:type="gramStart"/>
            <w:r w:rsidRPr="00C7128E">
              <w:rPr>
                <w:rFonts w:ascii="Times New Roman" w:hAnsi="Times New Roman" w:cs="Times New Roman"/>
                <w:color w:val="000000" w:themeColor="text1"/>
              </w:rPr>
              <w:t>дств гр</w:t>
            </w:r>
            <w:proofErr w:type="gramEnd"/>
            <w:r w:rsidRPr="00C7128E">
              <w:rPr>
                <w:rFonts w:ascii="Times New Roman" w:hAnsi="Times New Roman" w:cs="Times New Roman"/>
                <w:color w:val="000000" w:themeColor="text1"/>
              </w:rPr>
              <w:t>узоподъемностью свыше 10 тонн до 44 тонн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одно транспортное средство грузоподъемностью свыше 44 тонн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7920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7920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7920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7920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7920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7920</w:t>
            </w: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2268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услуг, в том числе:</w:t>
            </w:r>
          </w:p>
        </w:tc>
        <w:tc>
          <w:tcPr>
            <w:tcW w:w="232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11.1.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регулярные перевозки пассажиров автобусами в городском и пригородном сообщении; регулярные перевозки пассажиров автобусами в междугородном сообщении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одно пассажирское место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11.2.</w:t>
            </w:r>
          </w:p>
        </w:tc>
        <w:tc>
          <w:tcPr>
            <w:tcW w:w="2268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232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одно автотранспортное средство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1138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1043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569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544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816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805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782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698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683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1138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1043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910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1061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1047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920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826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766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690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1061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1047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920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по остеклению балконов и лоджий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1097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1064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582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548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458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836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686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1097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1064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915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по присмотру и уходу за детьми и больными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Сбор тары и пригодных для вторичного использования материалов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Деятельность ветеринарная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728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909</w:t>
            </w:r>
          </w:p>
        </w:tc>
      </w:tr>
      <w:tr w:rsidR="004B1BE2" w:rsidRPr="00C7128E">
        <w:tc>
          <w:tcPr>
            <w:tcW w:w="79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2268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один квадратный метр площади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Изготовление изделий народных художественных промыслов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1333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1183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631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616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591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566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947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925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1333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1183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Производство и реставрация ковров и ковровых изделий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Ремонт ювелирных изделий, бижутерии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1061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839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806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676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1061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Чеканка и гравировка ювелирных изделий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806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886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443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665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886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1153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576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925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835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805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724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1153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965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Проведение занятий по физической культуре и спорту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886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443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665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886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722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платных туалетов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764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</w:tr>
      <w:tr w:rsidR="004B1BE2" w:rsidRPr="00C7128E">
        <w:tc>
          <w:tcPr>
            <w:tcW w:w="79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32.</w:t>
            </w:r>
          </w:p>
        </w:tc>
        <w:tc>
          <w:tcPr>
            <w:tcW w:w="2268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Оказание услуг по перевозке пассажиров водным транспортом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на одно пассажирское место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4B1BE2" w:rsidRPr="00C7128E">
        <w:tc>
          <w:tcPr>
            <w:tcW w:w="79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33.</w:t>
            </w:r>
          </w:p>
        </w:tc>
        <w:tc>
          <w:tcPr>
            <w:tcW w:w="2268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Оказание услуг по перевозке грузов водным транспортом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на одну тонну грузоподъемности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34.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1065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929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562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842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697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1065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929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35.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676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36.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Деятельность по благоустройству ландшафта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764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905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37.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717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38.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</w:t>
            </w:r>
            <w:r w:rsidR="00C7128E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C7128E">
              <w:rPr>
                <w:rFonts w:ascii="Times New Roman" w:hAnsi="Times New Roman" w:cs="Times New Roman"/>
                <w:color w:val="000000" w:themeColor="text1"/>
              </w:rPr>
              <w:t xml:space="preserve"> 61-ФЗ "Об обращении лекарственных средств"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1246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592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581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561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842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811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727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1246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39.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1105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945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587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561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552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842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1105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945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40.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по прокату, за исключением услуг по прокату мотоциклов, мотороллеров, мопедов, велосипедов, легковых и грузовых автомобилей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886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443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665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886</w:t>
            </w:r>
          </w:p>
        </w:tc>
      </w:tr>
      <w:tr w:rsidR="004B1BE2" w:rsidRPr="00C7128E">
        <w:tc>
          <w:tcPr>
            <w:tcW w:w="79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40.1.</w:t>
            </w:r>
          </w:p>
        </w:tc>
        <w:tc>
          <w:tcPr>
            <w:tcW w:w="2268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по прокату мотоциклов, мотороллеров, мопедов, велосипедов, легковых и грузовых автомобилей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одно транспортное средство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886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41.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экскурсионные туристические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1058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907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453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768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726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1058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907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42.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678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Организация похорон и предоставление связанных с ними услуг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1179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967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620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579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483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839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808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725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1179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967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44.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уличных патрулей, охранников, сторожей и вахтеров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1343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1313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1253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1031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626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596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895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773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1343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1313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1253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1031</w:t>
            </w: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45.</w:t>
            </w:r>
          </w:p>
        </w:tc>
        <w:tc>
          <w:tcPr>
            <w:tcW w:w="2268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Розничная торговля, осуществляемая через объекты стационарной торговой сети, имеющие торговые залы, в том числе: &lt;**&gt;</w:t>
            </w:r>
          </w:p>
        </w:tc>
        <w:tc>
          <w:tcPr>
            <w:tcW w:w="232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45.1.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с площадью торгового зала не более 20 квадратных метров по каждому объекту организации торговли включительно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на один обособленный объект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1155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1091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1026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922</w:t>
            </w: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vMerge w:val="restart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45.2.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с площадью торгового зала более 20 квадратных метров по каждому объекту организации торговли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один квадратный метр площади торгового зала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B1BE2" w:rsidRPr="00C7128E">
        <w:tc>
          <w:tcPr>
            <w:tcW w:w="794" w:type="dxa"/>
            <w:vMerge/>
            <w:tcBorders>
              <w:top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на один обособленный объект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922</w:t>
            </w: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46.</w:t>
            </w:r>
          </w:p>
        </w:tc>
        <w:tc>
          <w:tcPr>
            <w:tcW w:w="2268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&lt;**&gt;, в том числе:</w:t>
            </w:r>
          </w:p>
        </w:tc>
        <w:tc>
          <w:tcPr>
            <w:tcW w:w="232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46.1.</w:t>
            </w:r>
          </w:p>
        </w:tc>
        <w:tc>
          <w:tcPr>
            <w:tcW w:w="2268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киоск, палатка, развозная и разносная торговля, а также объекты организации торговли, не относимые к стационарной торговой сети</w:t>
            </w:r>
          </w:p>
        </w:tc>
        <w:tc>
          <w:tcPr>
            <w:tcW w:w="232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один обособленный объект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1148 &lt;*&gt;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1103 &lt;*&gt;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982 &lt;*&gt;</w:t>
            </w: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46.2.</w:t>
            </w:r>
          </w:p>
        </w:tc>
        <w:tc>
          <w:tcPr>
            <w:tcW w:w="2268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 xml:space="preserve">другие торговые объекты, соответствующие понятию, установленному статьей 2 Федерального закона </w:t>
            </w:r>
            <w:r w:rsidR="00C7128E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C7128E">
              <w:rPr>
                <w:rFonts w:ascii="Times New Roman" w:hAnsi="Times New Roman" w:cs="Times New Roman"/>
                <w:color w:val="000000" w:themeColor="text1"/>
              </w:rPr>
              <w:t xml:space="preserve"> 381-ФЗ от 28 декабря 2009 года "Об основах государственного регулирования торговой деятельности в Российской Федерации":</w:t>
            </w:r>
          </w:p>
        </w:tc>
        <w:tc>
          <w:tcPr>
            <w:tcW w:w="232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46.2.1.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с общей площадью не более 30 квадратных метров включительно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один обособленный объект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1155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1091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1026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922</w:t>
            </w: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vMerge w:val="restart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46.2.2.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с общей площадью более 30 квадратных метров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один квадратный метр площади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B1BE2" w:rsidRPr="00C7128E">
        <w:tc>
          <w:tcPr>
            <w:tcW w:w="794" w:type="dxa"/>
            <w:vMerge/>
            <w:tcBorders>
              <w:top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один обособленный объект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922</w:t>
            </w: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47.</w:t>
            </w:r>
          </w:p>
        </w:tc>
        <w:tc>
          <w:tcPr>
            <w:tcW w:w="2268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общественного питания, оказываемые через объекты организации общественного питания, имеющие залы обслуживания посетителей, в том числе:</w:t>
            </w:r>
          </w:p>
        </w:tc>
        <w:tc>
          <w:tcPr>
            <w:tcW w:w="232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47.1.</w:t>
            </w:r>
          </w:p>
        </w:tc>
        <w:tc>
          <w:tcPr>
            <w:tcW w:w="2268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деятельность столовых и буфетов при предприятиях и учреждениях, деятельность по доставке продуктов питания учебным, спортивным и прочим учреждениям (по льготным ценам), деятельность социальных столовых, буфетов или кафетериев (в офисах, больницах, школах, институтах и пр.) на основе льготных цен на питание</w:t>
            </w:r>
          </w:p>
        </w:tc>
        <w:tc>
          <w:tcPr>
            <w:tcW w:w="232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один квадратный метр площади зала обслуживания посетителей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47.2.</w:t>
            </w:r>
          </w:p>
        </w:tc>
        <w:tc>
          <w:tcPr>
            <w:tcW w:w="2268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остальные организации общественного питания:</w:t>
            </w:r>
          </w:p>
        </w:tc>
        <w:tc>
          <w:tcPr>
            <w:tcW w:w="232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47.2.1.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с площадью зала обслуживания посетителей не более 30 квадратных метров включительно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один обособленный объект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934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863</w:t>
            </w:r>
          </w:p>
        </w:tc>
      </w:tr>
      <w:tr w:rsidR="004B1BE2" w:rsidRPr="00C7128E">
        <w:tblPrEx>
          <w:tblBorders>
            <w:insideH w:val="nil"/>
          </w:tblBorders>
        </w:tblPrEx>
        <w:tc>
          <w:tcPr>
            <w:tcW w:w="794" w:type="dxa"/>
            <w:vMerge w:val="restart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47.2.2.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с площадью зала обслуживания посетителей более 30 квадратных метров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один квадратный метр площади обслуживания посетителей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B1BE2" w:rsidRPr="00C7128E">
        <w:tc>
          <w:tcPr>
            <w:tcW w:w="794" w:type="dxa"/>
            <w:vMerge/>
            <w:tcBorders>
              <w:top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один обособленный объект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934</w:t>
            </w:r>
          </w:p>
        </w:tc>
        <w:tc>
          <w:tcPr>
            <w:tcW w:w="604" w:type="dxa"/>
            <w:tcBorders>
              <w:top w:val="nil"/>
            </w:tcBorders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863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925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835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694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925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Оказание услуг по забою и транспортировке скота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Производство кожи и изделий из кожи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676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 xml:space="preserve">Сбор и заготовка пищевых лесных ресурсов, </w:t>
            </w:r>
            <w:proofErr w:type="spellStart"/>
            <w:r w:rsidRPr="00C7128E">
              <w:rPr>
                <w:rFonts w:ascii="Times New Roman" w:hAnsi="Times New Roman" w:cs="Times New Roman"/>
                <w:color w:val="000000" w:themeColor="text1"/>
              </w:rPr>
              <w:t>недревесных</w:t>
            </w:r>
            <w:proofErr w:type="spellEnd"/>
            <w:r w:rsidRPr="00C7128E">
              <w:rPr>
                <w:rFonts w:ascii="Times New Roman" w:hAnsi="Times New Roman" w:cs="Times New Roman"/>
                <w:color w:val="000000" w:themeColor="text1"/>
              </w:rPr>
              <w:t xml:space="preserve"> лесных ресурсов и лекарственных растений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Переработка и консервирование фруктов и овощей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Производство молочной продукции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899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449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899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54.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Производство хлебобулочных и мучных кондитерских изделий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899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449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899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55.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Деятельность по письменному и устному переводу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56.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Деятельность по уходу за престарелыми и инвалидами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57.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58.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Резка, обработка и отделка камня для памятников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1153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617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576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925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835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805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724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1153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965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59.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1246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592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581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561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842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811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727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1246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60.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Ремонт компьютеров и коммуникационного оборудования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1246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592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581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561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842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811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727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1246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969</w:t>
            </w:r>
          </w:p>
        </w:tc>
      </w:tr>
      <w:tr w:rsidR="004B1BE2" w:rsidRPr="00C7128E">
        <w:tc>
          <w:tcPr>
            <w:tcW w:w="79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61.</w:t>
            </w:r>
          </w:p>
        </w:tc>
        <w:tc>
          <w:tcPr>
            <w:tcW w:w="2268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Деятельность стоянок для транспортных средств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один квадратный метр площади стоянки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62.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1046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945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542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683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1046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945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910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63.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по уходу за домашними животными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по изготовлению валяной обуви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66.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442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442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442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69.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Ремонт игрушек и подобных им изделий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442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Ремонт спортивного и туристического оборудования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442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72.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Услуги по распиловке дров по индивидуальному заказу населения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Сборка и ремонт очков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835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835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75.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Переплетные, брошюровочные, окантовочные, картонажные работы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514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835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76.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 xml:space="preserve">Услуги по ремонту сифонов и </w:t>
            </w:r>
            <w:proofErr w:type="spellStart"/>
            <w:r w:rsidRPr="00C7128E">
              <w:rPr>
                <w:rFonts w:ascii="Times New Roman" w:hAnsi="Times New Roman" w:cs="Times New Roman"/>
                <w:color w:val="000000" w:themeColor="text1"/>
              </w:rPr>
              <w:t>автосифонов</w:t>
            </w:r>
            <w:proofErr w:type="spellEnd"/>
            <w:r w:rsidRPr="00C7128E">
              <w:rPr>
                <w:rFonts w:ascii="Times New Roman" w:hAnsi="Times New Roman" w:cs="Times New Roman"/>
                <w:color w:val="000000" w:themeColor="text1"/>
              </w:rPr>
              <w:t>, в том числе зарядка газовых баллончиков для сифонов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479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442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435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719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663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77.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Производство колбасных изделий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1043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932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544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536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521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506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816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805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782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699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1133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1088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1043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932</w:t>
            </w:r>
          </w:p>
        </w:tc>
      </w:tr>
      <w:tr w:rsidR="004B1BE2" w:rsidRPr="00C7128E">
        <w:tc>
          <w:tcPr>
            <w:tcW w:w="794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78.</w:t>
            </w:r>
          </w:p>
        </w:tc>
        <w:tc>
          <w:tcPr>
            <w:tcW w:w="2268" w:type="dxa"/>
            <w:vMerge w:val="restart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Переработка и консервирование картофеля; прядение кардное шерстяных волокон; прядение гребенное шерстяных волокон</w:t>
            </w: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4B1BE2" w:rsidRPr="00C7128E">
        <w:tc>
          <w:tcPr>
            <w:tcW w:w="794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B1BE2" w:rsidRPr="00C7128E" w:rsidRDefault="004B1BE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4B1BE2" w:rsidRPr="00C7128E" w:rsidRDefault="004B1BE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4B1BE2" w:rsidRPr="00C7128E" w:rsidRDefault="004B1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128E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</w:tbl>
    <w:p w:rsidR="004B1BE2" w:rsidRPr="00C7128E" w:rsidRDefault="004B1B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1BE2" w:rsidRPr="00C7128E" w:rsidRDefault="004B1B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&lt;*&gt; За исключением развозной и разносной розничной торговли, для которой потенциально возможный годовой доход на единицу показателя составляет 1283 тыс. рублей.</w:t>
      </w:r>
    </w:p>
    <w:p w:rsidR="004B1BE2" w:rsidRPr="00C7128E" w:rsidRDefault="004B1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C7128E">
        <w:rPr>
          <w:rFonts w:ascii="Times New Roman" w:hAnsi="Times New Roman" w:cs="Times New Roman"/>
          <w:color w:val="000000" w:themeColor="text1"/>
        </w:rPr>
        <w:t xml:space="preserve">&lt;**&gt;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</w:t>
      </w:r>
      <w:r w:rsidR="00C7128E">
        <w:rPr>
          <w:rFonts w:ascii="Times New Roman" w:hAnsi="Times New Roman" w:cs="Times New Roman"/>
          <w:color w:val="000000" w:themeColor="text1"/>
        </w:rPr>
        <w:t>№</w:t>
      </w:r>
      <w:r w:rsidRPr="00C7128E">
        <w:rPr>
          <w:rFonts w:ascii="Times New Roman" w:hAnsi="Times New Roman" w:cs="Times New Roman"/>
          <w:color w:val="000000" w:themeColor="text1"/>
        </w:rPr>
        <w:t xml:space="preserve">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</w:t>
      </w:r>
      <w:proofErr w:type="gramEnd"/>
      <w:r w:rsidRPr="00C7128E">
        <w:rPr>
          <w:rFonts w:ascii="Times New Roman" w:hAnsi="Times New Roman" w:cs="Times New Roman"/>
          <w:color w:val="000000" w:themeColor="text1"/>
        </w:rPr>
        <w:t xml:space="preserve">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</w:t>
      </w:r>
      <w:proofErr w:type="gramStart"/>
      <w:r w:rsidRPr="00C7128E">
        <w:rPr>
          <w:rFonts w:ascii="Times New Roman" w:hAnsi="Times New Roman" w:cs="Times New Roman"/>
          <w:color w:val="000000" w:themeColor="text1"/>
        </w:rPr>
        <w:t>.".</w:t>
      </w:r>
      <w:proofErr w:type="gramEnd"/>
    </w:p>
    <w:p w:rsidR="004B1BE2" w:rsidRPr="00C7128E" w:rsidRDefault="004B1B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1BE2" w:rsidRPr="00C7128E" w:rsidRDefault="004B1B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Статья 2</w:t>
      </w:r>
    </w:p>
    <w:p w:rsidR="004B1BE2" w:rsidRPr="00C7128E" w:rsidRDefault="004B1B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1BE2" w:rsidRPr="00C7128E" w:rsidRDefault="004B1B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Настоящий Закон вступает в силу с 1 января 2024 года, но не ранее чем по истечении одного месяца со дня его официального опубликования.</w:t>
      </w:r>
    </w:p>
    <w:p w:rsidR="004B1BE2" w:rsidRPr="00C7128E" w:rsidRDefault="004B1B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1BE2" w:rsidRPr="00C7128E" w:rsidRDefault="004B1B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Губернатор</w:t>
      </w:r>
    </w:p>
    <w:p w:rsidR="004B1BE2" w:rsidRPr="00C7128E" w:rsidRDefault="004B1B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4B1BE2" w:rsidRPr="00C7128E" w:rsidRDefault="004B1B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В.П.ТОМЕНКО</w:t>
      </w:r>
    </w:p>
    <w:p w:rsidR="004B1BE2" w:rsidRPr="00C7128E" w:rsidRDefault="004B1BE2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г. Барнаул</w:t>
      </w:r>
    </w:p>
    <w:p w:rsidR="004B1BE2" w:rsidRPr="00C7128E" w:rsidRDefault="004B1BE2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C7128E">
        <w:rPr>
          <w:rFonts w:ascii="Times New Roman" w:hAnsi="Times New Roman" w:cs="Times New Roman"/>
          <w:color w:val="000000" w:themeColor="text1"/>
        </w:rPr>
        <w:t>3 марта 2023 года</w:t>
      </w:r>
    </w:p>
    <w:p w:rsidR="004B1BE2" w:rsidRPr="00C7128E" w:rsidRDefault="00C7128E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№</w:t>
      </w:r>
      <w:r w:rsidR="004B1BE2" w:rsidRPr="00C7128E">
        <w:rPr>
          <w:rFonts w:ascii="Times New Roman" w:hAnsi="Times New Roman" w:cs="Times New Roman"/>
          <w:color w:val="000000" w:themeColor="text1"/>
        </w:rPr>
        <w:t xml:space="preserve"> 11-ЗС</w:t>
      </w:r>
    </w:p>
    <w:p w:rsidR="004B1BE2" w:rsidRPr="00C7128E" w:rsidRDefault="004B1B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1BE2" w:rsidRPr="00C7128E" w:rsidRDefault="004B1B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1BE2" w:rsidRPr="00C7128E" w:rsidRDefault="004B1BE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F650BC" w:rsidRPr="00C7128E" w:rsidRDefault="00F650BC">
      <w:pPr>
        <w:rPr>
          <w:rFonts w:ascii="Times New Roman" w:hAnsi="Times New Roman" w:cs="Times New Roman"/>
          <w:color w:val="000000" w:themeColor="text1"/>
        </w:rPr>
      </w:pPr>
    </w:p>
    <w:sectPr w:rsidR="00F650BC" w:rsidRPr="00C7128E" w:rsidSect="002D1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BE2"/>
    <w:rsid w:val="004B1BE2"/>
    <w:rsid w:val="00903E44"/>
    <w:rsid w:val="00C7128E"/>
    <w:rsid w:val="00F6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B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B1B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1B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B1B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B1B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B1B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B1B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B1B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7051</Words>
  <Characters>40193</Characters>
  <Application>Microsoft Office Word</Application>
  <DocSecurity>0</DocSecurity>
  <Lines>334</Lines>
  <Paragraphs>94</Paragraphs>
  <ScaleCrop>false</ScaleCrop>
  <Company>УФНС РФ по Алтайскому краю</Company>
  <LinksUpToDate>false</LinksUpToDate>
  <CharactersWithSpaces>47150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2200-00-444</dc:creator>
  <cp:lastModifiedBy>UFNS</cp:lastModifiedBy>
  <cp:revision>2</cp:revision>
  <dcterms:created xsi:type="dcterms:W3CDTF">2023-06-14T07:53:00Z</dcterms:created>
  <dcterms:modified xsi:type="dcterms:W3CDTF">2023-06-14T07:53:00Z</dcterms:modified>
</cp:coreProperties>
</file>