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72093" w:rsidRPr="00A21D0F" w:rsidTr="00A21D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2093" w:rsidRPr="00A21D0F" w:rsidRDefault="00772093">
            <w:pPr>
              <w:pStyle w:val="ConsPlusNormal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30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2093" w:rsidRPr="00A21D0F" w:rsidRDefault="00A21D0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72093" w:rsidRPr="00A21D0F">
              <w:rPr>
                <w:rFonts w:ascii="Times New Roman" w:hAnsi="Times New Roman" w:cs="Times New Roman"/>
                <w:color w:val="000000" w:themeColor="text1"/>
              </w:rPr>
              <w:t> 78-ЗС</w:t>
            </w:r>
          </w:p>
        </w:tc>
      </w:tr>
    </w:tbl>
    <w:p w:rsidR="00772093" w:rsidRPr="00A21D0F" w:rsidRDefault="0077209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АЛТАЙСКИЙ КРАЙ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ЗАКОН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О ПРИМЕНЕНИИ ИНДИВИДУАЛЬНЫМИ ПРЕДПРИНИМАТЕЛЯМИ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ПАТЕНТНОЙ</w:t>
      </w:r>
      <w:proofErr w:type="gramEnd"/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СИСТЕМЫ НАЛОГООБЛОЖЕНИЯ НА ТЕРРИТОРИИ АЛТАЙСКОГО КРАЯ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A21D0F">
        <w:rPr>
          <w:rFonts w:ascii="Times New Roman" w:hAnsi="Times New Roman" w:cs="Times New Roman"/>
          <w:color w:val="000000" w:themeColor="text1"/>
        </w:rPr>
        <w:t>Принят</w:t>
      </w:r>
      <w:proofErr w:type="gramEnd"/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Постановлением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Алтайского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краевого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Законодательного Собрания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от 29.10.2012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520</w:t>
      </w:r>
    </w:p>
    <w:p w:rsidR="00772093" w:rsidRPr="00A21D0F" w:rsidRDefault="00772093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72093" w:rsidRPr="00A21D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(в ред. Законов Алтайского края</w:t>
            </w:r>
            <w:proofErr w:type="gramEnd"/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от 24.06.2015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50-ЗС, от 09.11.2015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104-ЗС, от 20.12.2016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90-ЗС,</w:t>
            </w:r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от 30.11.2017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88-ЗС, от 28.11.2019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101-ЗС, от 27.11.2020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88-ЗС,</w:t>
            </w:r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от 31.03.2021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30-ЗС, от 23.06.2021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61-ЗС, от 30.11.2021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103-ЗС,</w:t>
            </w:r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от 03.03.2023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11-ЗС (ред. 03.10.2023), от 07.11.2024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81-ЗС,</w:t>
            </w:r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от 28.11.2025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93-ЗС)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Статья 1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Настоящий Закон принят в соответствии с главой 26.5 Налогового кодекса Российской Федерации и предусматривает возможность применения патентной системы налогообложения на территории Алтайского края индивидуальными предпринимателями, осуществляющими виды предпринимательской деятельности, установленные статьей 346.43 Налогового кодекса Российской Федерации.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Статья 2</w:t>
      </w: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24.06.2015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50-ЗС)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1. Установить в соответствии с приложением 1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к настоящему Закону размеры потенциально возможного к получению индивидуальными предпринимателями годового дохода на территории Алтайского края в зависимости от территории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действия патентов по следующим группам муниципальных образований и населенных пунктов: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а) 1-я группа - городской округ - город Барнаул Алтайского края;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б) 2-я группа - городские округа: город Бийск Алтайского края, город Рубцовск Алтайского края, город Новоалтайск Алтайского края, город Заринск Алтайского края, город Белокуриха Алтайского края;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в) 3-я группа - городские округа: город Алейск Алтайского края, город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Яровое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Алтайского края;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 xml:space="preserve">административные центры муниципальных районов и муниципальных округов Алтайского края: город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Камень-на-Оби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Каменского района, село Алтайское Алтайского района, рабочий поселок Благовещенка Благовещенского района, село Волчиха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Волчихинского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Завьялово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Завьяловского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город Змеиногорск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Змеиногорского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город Горняк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Локтевского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Ключи Ключевского района, село Кулунда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Кулундинского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Мамонтово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Мамонтовского района, село Михайловское Михайловского района, село Павловск Павловского района, село Поспелиха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Поспелихинского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Ребриха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Ребрихинского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Родино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Родинского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город Славгород, село Смоленское Смоленского района, село Топчиха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Топчихинского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Троицкое Троицкого района, рабочий поселок Тальменка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Тальменского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района, село Шипуново 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Шипуновского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 xml:space="preserve"> района;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lastRenderedPageBreak/>
        <w:t>г) 4-я группа - административные центры муниципальных районов, муниципальных округов Алтайского края и населенные пункты Алтайского края с численностью населения, превышающей 1500 человек, не вошедшие в 3-ю группу;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21D0F">
        <w:rPr>
          <w:rFonts w:ascii="Times New Roman" w:hAnsi="Times New Roman" w:cs="Times New Roman"/>
          <w:color w:val="000000" w:themeColor="text1"/>
        </w:rPr>
        <w:t>д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>) 5-я группа - населенные пункты Алтайского края, не вошедшие в 3-ю и 4-ю группы, с численностью населения, превышающей 500 человек;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е) 6-я группа - населенные пункты Алтайского края с численностью населения, не превышающей 500 человек.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(часть 1 в ред. Закона Алтайского края от 28.11.2025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93-ЗС)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2. Размер потенциально возможного к получению индивидуальными предпринимателями годового дохода на территории Алтайского края устанавливается в расчете на единицу физического показателя, характеризующего вид предпринимательской деятельности, указанного в приложении 1 к настоящему Закону.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ч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асть 2 в ред. Закона Алтайского края от 03.03.2023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11-ЗС)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2.1. Размер потенциально возможного к получению индивидуальными предпринимателями годового дохода на территории Алтайского края подлежит ежегодной индексации на коэффициент-дефлятор, установленный на соответствующий календарный год в соответствии со статьей 346.43 Налогового кодекса Российской Федерации.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ч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асть 2.1 введена Законом Алтайского края от 03.03.2023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11-ЗС (ред. 03.10.2023))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2.2.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 xml:space="preserve">Размер потенциально возможного к получению индивидуальными предпринимателями годового дохода на территории Алтайского края, установленный в приложении 1 к настоящему Закону, уменьшается на 50 процентов в отношении социальных предприятий, статус которых признан в соответствии с требованиями Федерального закона от 24 июля 2007 года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209-ФЗ "О развитии малого и среднего предпринимательства в Российской Федерации".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Патент, приобретенный до признания индивидуального предпринимателя социальным предприятием, продолжает действие в течение указанного в нем налогового периода. Данные положения не применяются при осуществлении видов деятельности, указанных в пунктах 10, 11, 19, 32, 33, 45 - 48 приложения 1 к настоящему Закону.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ч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асть 2.2 введена Законом Алтайского края от 07.11.2024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81-ЗС)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3 - 4. Утратили силу с 1 января 2021 года. - Закон Алтайского края от 27.11.2020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88-ЗС.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5. Установить следующие ограничения для применения патентной системы налогообложения: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1) общая площадь сдаваемых в аренду (наем) собственных или арендованных жилых помещений, а также собственных или арендованных нежилых помещений (включая выставочные залы, складские помещения), земельных участков по виду деятельности, указанному в пункте 19 Приложения 1 к настоящему Закону, не может превышать: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(в ред. Закона Алтайского края от 27.11.2020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88-ЗС)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а) по жилым помещениям - 300 квадратных метров;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б) по нежилым помещениям - 1000 квадратных метров;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в) по земельным участкам - 3000 квадратных метров;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A21D0F">
        <w:rPr>
          <w:rFonts w:ascii="Times New Roman" w:hAnsi="Times New Roman" w:cs="Times New Roman"/>
          <w:color w:val="000000" w:themeColor="text1"/>
        </w:rPr>
        <w:t>пп</w:t>
      </w:r>
      <w:proofErr w:type="spellEnd"/>
      <w:r w:rsidRPr="00A21D0F">
        <w:rPr>
          <w:rFonts w:ascii="Times New Roman" w:hAnsi="Times New Roman" w:cs="Times New Roman"/>
          <w:color w:val="000000" w:themeColor="text1"/>
        </w:rPr>
        <w:t>. "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" введен Законом Алтайского края от 03.03.2023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11-ЗС)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2) общее количество автотранспортных средств и судов водного транспорта по видам предпринимательской деятельности, указанным в пунктах 10 и 11, 32 и 33 Приложения 1 к настоящему Закону, не может превышать: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а) по перевозке грузов автомобильным и водным транспортом - 10 транспортных средства;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б) по перевозке пассажиров автомобильным и водным транспортом - 10 транспортных </w:t>
      </w:r>
      <w:r w:rsidRPr="00A21D0F">
        <w:rPr>
          <w:rFonts w:ascii="Times New Roman" w:hAnsi="Times New Roman" w:cs="Times New Roman"/>
          <w:color w:val="000000" w:themeColor="text1"/>
        </w:rPr>
        <w:lastRenderedPageBreak/>
        <w:t>средств;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3) общее количество объектов стационарной и нестационарной торговой сети по видам предпринимательской деятельности, указанным в пунктах 45 и 46 приложения 1 к настоящему Закону, не может превышать: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а) по объектам стационарной торговой сети с площадью торгового зала не более 150 квадратных метров - 3 обособленных объекта;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б) по объектам стационарной торговой сети, не имеющих торговых залов, и объектам нестационарной торговой сети - 5 обособленных объектов;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(п. 3 в ред. Закона Алтайского края от 03.03.2023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11-ЗС)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4) общее количество объектов организации общественного питания по видам предпринимательской деятельности, указанным в пунктах 47 и 48 приложения 1 к настоящему Закону, не может превышать: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а) по объектам организации общественного питания с площадью зала обслуживания посетителей не более 150 квадратных метров, за исключением закусочных и прочих предприятий быстрого питания без предоставления мест для сидения, - 3 обособленных объекта;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б) по объектам организации общественного питания в виде закусочных и прочих предприятий быстрого питания без предоставления мест для сидения - 5 обособленных объектов.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(п. 4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введен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Законом Алтайского края от 03.03.2023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11-ЗС)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Статья 3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Губернатор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А.Б.КАРЛИН</w:t>
      </w:r>
    </w:p>
    <w:p w:rsidR="00772093" w:rsidRPr="00A21D0F" w:rsidRDefault="00772093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г. Барнаул</w:t>
      </w:r>
    </w:p>
    <w:p w:rsidR="00772093" w:rsidRPr="00A21D0F" w:rsidRDefault="00772093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30 октября 2012 года</w:t>
      </w:r>
    </w:p>
    <w:p w:rsidR="00772093" w:rsidRPr="00A21D0F" w:rsidRDefault="00A21D0F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№</w:t>
      </w:r>
      <w:r w:rsidR="00772093" w:rsidRPr="00A21D0F">
        <w:rPr>
          <w:rFonts w:ascii="Times New Roman" w:hAnsi="Times New Roman" w:cs="Times New Roman"/>
          <w:color w:val="000000" w:themeColor="text1"/>
        </w:rPr>
        <w:t xml:space="preserve"> 78-ЗС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Приложение 1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к Закону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"О применении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индивидуальными</w:t>
      </w:r>
      <w:proofErr w:type="gramEnd"/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предпринимателями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патентной</w:t>
      </w:r>
      <w:proofErr w:type="gramEnd"/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системы налогообложения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на</w:t>
      </w:r>
      <w:proofErr w:type="gramEnd"/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территории Алтайского края"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0" w:name="P88"/>
      <w:bookmarkEnd w:id="0"/>
      <w:r w:rsidRPr="00A21D0F">
        <w:rPr>
          <w:rFonts w:ascii="Times New Roman" w:hAnsi="Times New Roman" w:cs="Times New Roman"/>
          <w:color w:val="000000" w:themeColor="text1"/>
        </w:rPr>
        <w:t>РАЗМЕРЫ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ПОТЕНЦИАЛЬНО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ВОЗМОЖНОГО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К ПОЛУЧЕНИЮ ИНДИВИДУАЛЬНЫМИ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ПРЕДПРИНИМАТЕЛЯМИ ГОДОВОГО ДОХОДА ПО ВИДАМ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ПРЕДПРИНИМАТЕЛЬСКОЙ ДЕЯТЕЛЬНОСТИ, В ОТНОШЕНИИ КОТОРЫХ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ПРИМЕНЯЕТСЯ ПАТЕНТНАЯ СИСТЕМА НАЛОГООБЛОЖЕНИЯ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НА ТЕРРИТОРИИ АЛТАЙСКОГО КРАЯ</w:t>
      </w:r>
    </w:p>
    <w:p w:rsidR="00772093" w:rsidRPr="00A21D0F" w:rsidRDefault="00772093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72093" w:rsidRPr="00A21D0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(в ред. Законов Алтайского края</w:t>
            </w:r>
            <w:proofErr w:type="gramEnd"/>
          </w:p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от 03.03.2023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11-ЗС, от 07.11.2024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81-ЗС, от 28.11.2025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93-ЗС)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2268"/>
        <w:gridCol w:w="2324"/>
        <w:gridCol w:w="604"/>
        <w:gridCol w:w="604"/>
        <w:gridCol w:w="604"/>
        <w:gridCol w:w="604"/>
        <w:gridCol w:w="604"/>
        <w:gridCol w:w="604"/>
      </w:tblGrid>
      <w:tr w:rsidR="00772093" w:rsidRPr="00A21D0F">
        <w:tc>
          <w:tcPr>
            <w:tcW w:w="794" w:type="dxa"/>
            <w:vMerge w:val="restart"/>
          </w:tcPr>
          <w:p w:rsidR="00772093" w:rsidRPr="00A21D0F" w:rsidRDefault="00A21D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772093" w:rsidRPr="00A21D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772093" w:rsidRPr="00A21D0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772093" w:rsidRPr="00A21D0F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="00772093" w:rsidRPr="00A21D0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Виды предпринимательской деятельности, на которые индивидуальные предприниматели могут приобретать патенты</w:t>
            </w:r>
          </w:p>
        </w:tc>
        <w:tc>
          <w:tcPr>
            <w:tcW w:w="2324" w:type="dxa"/>
            <w:vMerge w:val="restart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Физический показатель, характеризующий вид предпринимательской деятельности</w:t>
            </w:r>
          </w:p>
        </w:tc>
        <w:tc>
          <w:tcPr>
            <w:tcW w:w="3624" w:type="dxa"/>
            <w:gridSpan w:val="6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Потенциально возможный годовой доход на единицу показателя в зависимости от территории действия патентов, тыс. рублей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1-я группа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2-я группа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3-я группа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4-я группа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5-я группа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6-я группа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Ремонт, чистка, окраска и пошив обуви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работников (от 6 до 10 человек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751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Парикмахерские и косметические услуги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мебели и предметов домашнего обихода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492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в области фотографии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826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708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944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Ремонт, техническое обслуживание автотранспортных и </w:t>
            </w:r>
            <w:proofErr w:type="spellStart"/>
            <w:r w:rsidRPr="00A21D0F">
              <w:rPr>
                <w:rFonts w:ascii="Times New Roman" w:hAnsi="Times New Roman" w:cs="Times New Roman"/>
                <w:color w:val="000000" w:themeColor="text1"/>
              </w:rPr>
              <w:t>мототранспортных</w:t>
            </w:r>
            <w:proofErr w:type="spellEnd"/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1141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978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570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работников (от 6 до 10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955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1141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978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P387"/>
            <w:bookmarkEnd w:id="1"/>
            <w:r w:rsidRPr="00A21D0F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Оказание автотранспортных услуг по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>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одно транспортное средство грузоподъемностью до 2,5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>узоподъемностью свыше 2,5 тонн до 4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>узоподъемностью свыше 4 тонн до 6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>узоподъемностью свыше 6 тонн до 8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>узоподъемностью свыше 8 тонн до 10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196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одна тонна грузоподъемности транспортных сре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дств гр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>узоподъемностью свыше 10 тонн до 44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одно транспортное средство грузоподъемностью свыше 44 тонн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7920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438"/>
            <w:bookmarkEnd w:id="2"/>
            <w:r w:rsidRPr="00A21D0F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Оказание автотранспортных услуг по перевозке пассажиров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услуг, в том числе: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11.1.</w:t>
            </w:r>
          </w:p>
        </w:tc>
        <w:tc>
          <w:tcPr>
            <w:tcW w:w="2268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регулярные перевозки пассажиров автобусами в городском и пригородном сообщении;</w:t>
            </w:r>
          </w:p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регулярные перевозки пассажиров автобусами в междугороднем сообщении</w:t>
            </w: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одно пассажирское место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9010" w:type="dxa"/>
            <w:gridSpan w:val="9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(п. 11.1 в ред. Закона Алтайского края от 07.11.2024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81-ЗС)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11.2.</w:t>
            </w:r>
          </w:p>
        </w:tc>
        <w:tc>
          <w:tcPr>
            <w:tcW w:w="2268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232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одно автотранспортное средство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1138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826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остеклению балконов и лоджий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458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915</w:t>
            </w:r>
          </w:p>
        </w:tc>
      </w:tr>
      <w:tr w:rsidR="00772093" w:rsidRPr="00A21D0F">
        <w:tc>
          <w:tcPr>
            <w:tcW w:w="794" w:type="dxa"/>
            <w:vMerge w:val="restart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Услуги в сфере дошкольного образования и дополнительного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образования детей и взрослых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250</w:t>
            </w:r>
          </w:p>
        </w:tc>
      </w:tr>
      <w:tr w:rsidR="00772093" w:rsidRPr="00A21D0F">
        <w:tc>
          <w:tcPr>
            <w:tcW w:w="794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9010" w:type="dxa"/>
            <w:gridSpan w:val="9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(п. 15 в ред. Закона Алтайского края от 07.11.2024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81-ЗС)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присмотру и уходу за детьми и больными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Сбор тары и пригодных для вторичного использования материалов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ветеринарная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909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678"/>
            <w:bookmarkEnd w:id="3"/>
            <w:r w:rsidRPr="00A21D0F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Изготовление изделий народных художественных промыслов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1333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631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591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1333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Производство и реставрация ковров и ковровых изделий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ювелирных изделий, бижутерии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Чеканка и гравировка ювелирных изделий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25.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Деятельность, специализированная в области дизайна, услуги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художественного оформления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Проведение занятий по физической культуре и спорту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платных туалетов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1051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1047"/>
            <w:bookmarkEnd w:id="4"/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32.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Оказание услуг по перевозке пассажиров водным транспортом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на одно пассажирское место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P1056"/>
            <w:bookmarkEnd w:id="5"/>
            <w:r w:rsidRPr="00A21D0F"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Оказание услуг по перевозке грузов водным транспортом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на одну тонну грузоподъемности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1065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35.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36.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по благоустройству ландшафта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1433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Занятие медицинской деятельностью или фармацевтической деятельностью лицом,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61-ФЗ "Об обращении лекарственных средств"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39.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прокату, за исключением услуг по прокату мотоциклов, мотороллеров, мопедов, велосипедов, легковых и грузовых автомобилей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работников (до 5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517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40.1.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прокату мотоциклов, мотороллеров, мопедов, велосипедов, легковых и грузовых автомобилей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одно транспортное средство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886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41.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экскурсионные туристические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907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работников (до 5 человек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520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678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Организация похорон и предоставление связанных с ними услуг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967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8216" w:type="dxa"/>
            <w:gridSpan w:val="8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Утратил силу с 1 января 2026 года. - Закон Алтайского края от 28.11.2025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93-ЗС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6" w:name="P1376"/>
            <w:bookmarkEnd w:id="6"/>
            <w:r w:rsidRPr="00A21D0F"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2268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залы, в том числе: &lt;**&gt;</w:t>
            </w: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 площадью торгового зала не более 20 квадратных метров по каждому объекту организации торговли включительно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на 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1026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vMerge w:val="restart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45.2.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 площадью торгового зала более 20 квадратных метров по каждому объекту организации торговли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торгового зала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72093" w:rsidRPr="00A21D0F">
        <w:tc>
          <w:tcPr>
            <w:tcW w:w="794" w:type="dxa"/>
            <w:vMerge/>
            <w:tcBorders>
              <w:top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на 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P1410"/>
            <w:bookmarkEnd w:id="7"/>
            <w:r w:rsidRPr="00A21D0F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2268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&lt;**&gt;, в том числе:</w:t>
            </w: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киоск, палатка, развозная и разносная торговля, а также объекты организации торговли, не относимые к стационарной торговой сети (за исключением розничной торговли с использованием торговых автоматов)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1148 &lt;*&gt;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1103 &lt;*&gt;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982 &lt;*&gt;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9010" w:type="dxa"/>
            <w:gridSpan w:val="9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(в ред. Закона Алтайского края от 07.11.2024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81-ЗС)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46.2.</w:t>
            </w:r>
          </w:p>
        </w:tc>
        <w:tc>
          <w:tcPr>
            <w:tcW w:w="2268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другие торговые объекты, соответствующие понятию, установленному статьей 2 Федерального закона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381-ФЗ от 28 декабря 2009 года "Об основах государственного регулирования торговой деятельности в Российской Федерации":</w:t>
            </w: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46.2.1.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 общей площадью не более 30 квадратных метров включительно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1091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1026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vMerge w:val="restart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46.2.2.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с общей площадью более 30 квадратных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метров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один квадратный метр площади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72093" w:rsidRPr="00A21D0F">
        <w:tc>
          <w:tcPr>
            <w:tcW w:w="794" w:type="dxa"/>
            <w:vMerge/>
            <w:tcBorders>
              <w:top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922</w:t>
            </w:r>
          </w:p>
        </w:tc>
      </w:tr>
      <w:tr w:rsidR="00772093" w:rsidRPr="00A21D0F">
        <w:tc>
          <w:tcPr>
            <w:tcW w:w="794" w:type="dxa"/>
            <w:vMerge w:val="restart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46.3.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Розничная торговля с использованием торговых автоматов (за исключением развозной торговли)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торговый автомат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1148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982</w:t>
            </w:r>
          </w:p>
        </w:tc>
      </w:tr>
      <w:tr w:rsidR="00772093" w:rsidRPr="00A21D0F">
        <w:tc>
          <w:tcPr>
            <w:tcW w:w="794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торгового автомата (до 3 торговых автоматов)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торгового автомата (от 4 до 5 торговых автоматов)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9010" w:type="dxa"/>
            <w:gridSpan w:val="9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(п. 46.3 </w:t>
            </w:r>
            <w:proofErr w:type="gramStart"/>
            <w:r w:rsidRPr="00A21D0F">
              <w:rPr>
                <w:rFonts w:ascii="Times New Roman" w:hAnsi="Times New Roman" w:cs="Times New Roman"/>
                <w:color w:val="000000" w:themeColor="text1"/>
              </w:rPr>
              <w:t>введен</w:t>
            </w:r>
            <w:proofErr w:type="gramEnd"/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Законом Алтайского края от 07.11.2024 </w:t>
            </w:r>
            <w:r w:rsidR="00A21D0F" w:rsidRPr="00A21D0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81-ЗС)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8" w:name="P1487"/>
            <w:bookmarkEnd w:id="8"/>
            <w:r w:rsidRPr="00A21D0F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2268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общественного питания, оказываемые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47.1.</w:t>
            </w:r>
          </w:p>
        </w:tc>
        <w:tc>
          <w:tcPr>
            <w:tcW w:w="2268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столовых и буфетов при предприятиях и учреждениях, деятельность по доставке продуктов питания учебным, спортивным и прочим учреждениям (по льготным ценам), 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  <w:tc>
          <w:tcPr>
            <w:tcW w:w="232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зала обслуживания посетителей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47.2.</w:t>
            </w:r>
          </w:p>
        </w:tc>
        <w:tc>
          <w:tcPr>
            <w:tcW w:w="2268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остальные организации общественного питания:</w:t>
            </w:r>
          </w:p>
        </w:tc>
        <w:tc>
          <w:tcPr>
            <w:tcW w:w="232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47.2.1.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 площадью зала обслуживания посетителей не более 30 квадратных метров включительно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863</w:t>
            </w:r>
          </w:p>
        </w:tc>
      </w:tr>
      <w:tr w:rsidR="00772093" w:rsidRPr="00A21D0F">
        <w:tblPrEx>
          <w:tblBorders>
            <w:insideH w:val="nil"/>
          </w:tblBorders>
        </w:tblPrEx>
        <w:tc>
          <w:tcPr>
            <w:tcW w:w="794" w:type="dxa"/>
            <w:vMerge w:val="restart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47.2.2.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 площадью зала обслуживания посетителей более 30 квадратных метров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обслуживания посетителей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72093" w:rsidRPr="00A21D0F">
        <w:tc>
          <w:tcPr>
            <w:tcW w:w="794" w:type="dxa"/>
            <w:vMerge/>
            <w:tcBorders>
              <w:top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обособленный объект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934</w:t>
            </w:r>
          </w:p>
        </w:tc>
        <w:tc>
          <w:tcPr>
            <w:tcW w:w="604" w:type="dxa"/>
            <w:tcBorders>
              <w:top w:val="nil"/>
            </w:tcBorders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863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P1539"/>
            <w:bookmarkEnd w:id="9"/>
            <w:r w:rsidRPr="00A21D0F">
              <w:rPr>
                <w:rFonts w:ascii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Оказание услуг по забою и транспортировке скота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50.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901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Сбор и заготовка пищевых лесных ресурсов, </w:t>
            </w:r>
            <w:proofErr w:type="spellStart"/>
            <w:r w:rsidRPr="00A21D0F">
              <w:rPr>
                <w:rFonts w:ascii="Times New Roman" w:hAnsi="Times New Roman" w:cs="Times New Roman"/>
                <w:color w:val="000000" w:themeColor="text1"/>
              </w:rPr>
              <w:t>недревесных</w:t>
            </w:r>
            <w:proofErr w:type="spellEnd"/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 лесных ресурсов и лекарственных растений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Переработка и консервирование фруктов и овощей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Производство молочной продукции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Производство хлебобулочных и мучных кондитерских изделий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работников (от 6 до 10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899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по письменному и устному переводу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по уходу за престарелыми и инвалидами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57.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Резка, обработка и отделка камня для памятников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617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576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925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1153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59.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Разработка компьютерного программного обеспечения, в том числе системного программного обеспечения,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единицу средней численности наемных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623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компьютеров и коммуникационного оборудования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592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727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1246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1122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969</w:t>
            </w:r>
          </w:p>
        </w:tc>
      </w:tr>
      <w:tr w:rsidR="00772093" w:rsidRPr="00A21D0F">
        <w:tc>
          <w:tcPr>
            <w:tcW w:w="79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61.</w:t>
            </w:r>
          </w:p>
        </w:tc>
        <w:tc>
          <w:tcPr>
            <w:tcW w:w="2268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Деятельность стоянок для транспортных средств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один квадратный метр площади стоянки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1,5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683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1008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945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уходу за домашними животными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65.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изготовлению валяной обуви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Граверные работы по металлу, стеклу, фарфору, дереву,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керамике, кроме ювелирных изделий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индивидуальный предприниматель без привлечения наемных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игрушек и подобных им изделий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Ремонт спортивного и туристического оборудования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72.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Услуги по распиловке дров по индивидуальному заказу населения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Сборка и ремонт очков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и печатание визитных карточек и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пригласительных билетов на семейные торжества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индивидуальный предприниматель без привлечения наемных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75.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Переплетные, брошюровочные, окантовочные, картонажные работы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514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835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1057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1029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900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Услуги по ремонту сифонов и </w:t>
            </w:r>
            <w:proofErr w:type="spellStart"/>
            <w:r w:rsidRPr="00A21D0F">
              <w:rPr>
                <w:rFonts w:ascii="Times New Roman" w:hAnsi="Times New Roman" w:cs="Times New Roman"/>
                <w:color w:val="000000" w:themeColor="text1"/>
              </w:rPr>
              <w:t>автосифонов</w:t>
            </w:r>
            <w:proofErr w:type="spellEnd"/>
            <w:r w:rsidRPr="00A21D0F">
              <w:rPr>
                <w:rFonts w:ascii="Times New Roman" w:hAnsi="Times New Roman" w:cs="Times New Roman"/>
                <w:color w:val="000000" w:themeColor="text1"/>
              </w:rPr>
              <w:t>, в том числе зарядка газовых баллончиков для сифонов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493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479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442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435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740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719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663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986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884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869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77.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Производство колбасных изделий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932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544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536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521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506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466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816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805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782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760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699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1133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1088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1073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1043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1013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932</w:t>
            </w:r>
          </w:p>
        </w:tc>
      </w:tr>
      <w:tr w:rsidR="00772093" w:rsidRPr="00A21D0F">
        <w:tc>
          <w:tcPr>
            <w:tcW w:w="794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78.</w:t>
            </w:r>
          </w:p>
        </w:tc>
        <w:tc>
          <w:tcPr>
            <w:tcW w:w="2268" w:type="dxa"/>
            <w:vMerge w:val="restart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Переработка и консервирование картофеля; прядение кардное шерстяных волокон; прядение гребенное шерстяных волокон</w:t>
            </w: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 без привлечения наемных работников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(до 5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467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451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430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дополнительно на единицу средней численности наемных работников (от 6 до 10 человек включительно)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689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685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677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644</w:t>
            </w:r>
          </w:p>
        </w:tc>
      </w:tr>
      <w:tr w:rsidR="00772093" w:rsidRPr="00A21D0F">
        <w:tc>
          <w:tcPr>
            <w:tcW w:w="794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772093" w:rsidRPr="00A21D0F" w:rsidRDefault="0077209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24" w:type="dxa"/>
          </w:tcPr>
          <w:p w:rsidR="00772093" w:rsidRPr="00A21D0F" w:rsidRDefault="007720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 xml:space="preserve">дополнительно на </w:t>
            </w: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единицу средней численности наемных работников (свыше 10 человек)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lastRenderedPageBreak/>
              <w:t>933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918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903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874</w:t>
            </w:r>
          </w:p>
        </w:tc>
        <w:tc>
          <w:tcPr>
            <w:tcW w:w="604" w:type="dxa"/>
          </w:tcPr>
          <w:p w:rsidR="00772093" w:rsidRPr="00A21D0F" w:rsidRDefault="007720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1D0F">
              <w:rPr>
                <w:rFonts w:ascii="Times New Roman" w:hAnsi="Times New Roman" w:cs="Times New Roman"/>
                <w:color w:val="000000" w:themeColor="text1"/>
              </w:rPr>
              <w:t>859</w:t>
            </w:r>
          </w:p>
        </w:tc>
      </w:tr>
    </w:tbl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--------------------------------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0" w:name="P2450"/>
      <w:bookmarkEnd w:id="10"/>
      <w:r w:rsidRPr="00A21D0F">
        <w:rPr>
          <w:rFonts w:ascii="Times New Roman" w:hAnsi="Times New Roman" w:cs="Times New Roman"/>
          <w:color w:val="000000" w:themeColor="text1"/>
        </w:rPr>
        <w:t>&lt;*&gt; За исключением развозной и разносной розничной торговли, для которой потенциально возможный годовой доход на единицу показателя составляет 1283 тыс. рублей.</w:t>
      </w:r>
    </w:p>
    <w:p w:rsidR="00772093" w:rsidRPr="00A21D0F" w:rsidRDefault="007720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bookmarkStart w:id="11" w:name="P2451"/>
      <w:bookmarkEnd w:id="11"/>
      <w:proofErr w:type="gramStart"/>
      <w:r w:rsidRPr="00A21D0F">
        <w:rPr>
          <w:rFonts w:ascii="Times New Roman" w:hAnsi="Times New Roman" w:cs="Times New Roman"/>
          <w:color w:val="000000" w:themeColor="text1"/>
        </w:rPr>
        <w:t xml:space="preserve">&lt;**&gt;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</w:t>
      </w:r>
      <w:proofErr w:type="gramEnd"/>
      <w:r w:rsidRPr="00A21D0F">
        <w:rPr>
          <w:rFonts w:ascii="Times New Roman" w:hAnsi="Times New Roman" w:cs="Times New Roman"/>
          <w:color w:val="000000" w:themeColor="text1"/>
        </w:rPr>
        <w:t xml:space="preserve">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Приложение 2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к Закону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Алтайского края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"О применении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индивидуальными</w:t>
      </w:r>
      <w:proofErr w:type="gramEnd"/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предпринимателями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патентной</w:t>
      </w:r>
      <w:proofErr w:type="gramEnd"/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системы налогообложения</w:t>
      </w:r>
    </w:p>
    <w:p w:rsidR="00772093" w:rsidRPr="00A21D0F" w:rsidRDefault="00772093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на территории Алтайского края"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КОЭФФИЦИЕНТЫ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ДИФФЕРЕНЦИАЦИИ РАЗМЕРА ПОТЕНЦИАЛЬНО ВОЗМОЖНОГО К ПОЛУЧЕНИЮ</w:t>
      </w:r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ИНДИВИДУАЛЬНЫМИ ПРЕДПРИНИМАТЕЛЯМИ ГОДОВОГО ДОХОДА </w:t>
      </w:r>
      <w:proofErr w:type="gramStart"/>
      <w:r w:rsidRPr="00A21D0F">
        <w:rPr>
          <w:rFonts w:ascii="Times New Roman" w:hAnsi="Times New Roman" w:cs="Times New Roman"/>
          <w:color w:val="000000" w:themeColor="text1"/>
        </w:rPr>
        <w:t>В</w:t>
      </w:r>
      <w:proofErr w:type="gramEnd"/>
    </w:p>
    <w:p w:rsidR="00772093" w:rsidRPr="00A21D0F" w:rsidRDefault="00772093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>ЗАВИСИМОСТИ ОТ СРЕДНЕЙ ЧИСЛЕННОСТИ НАЕМНЫХ РАБОТНИКОВ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A21D0F">
        <w:rPr>
          <w:rFonts w:ascii="Times New Roman" w:hAnsi="Times New Roman" w:cs="Times New Roman"/>
          <w:color w:val="000000" w:themeColor="text1"/>
        </w:rPr>
        <w:t xml:space="preserve">Утратили силу с 1 января 2022 года. - Закон Алтайского края от 27.11.2020 </w:t>
      </w:r>
      <w:r w:rsidR="00A21D0F" w:rsidRPr="00A21D0F">
        <w:rPr>
          <w:rFonts w:ascii="Times New Roman" w:hAnsi="Times New Roman" w:cs="Times New Roman"/>
          <w:color w:val="000000" w:themeColor="text1"/>
        </w:rPr>
        <w:t>№</w:t>
      </w:r>
      <w:r w:rsidRPr="00A21D0F">
        <w:rPr>
          <w:rFonts w:ascii="Times New Roman" w:hAnsi="Times New Roman" w:cs="Times New Roman"/>
          <w:color w:val="000000" w:themeColor="text1"/>
        </w:rPr>
        <w:t xml:space="preserve"> 88-ЗС.</w:t>
      </w: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772093" w:rsidRPr="00A21D0F" w:rsidRDefault="0077209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A77B8C" w:rsidRPr="00A21D0F" w:rsidRDefault="00A77B8C">
      <w:pPr>
        <w:rPr>
          <w:rFonts w:ascii="Times New Roman" w:hAnsi="Times New Roman" w:cs="Times New Roman"/>
          <w:color w:val="000000" w:themeColor="text1"/>
        </w:rPr>
      </w:pPr>
      <w:bookmarkStart w:id="12" w:name="_GoBack"/>
      <w:bookmarkEnd w:id="12"/>
    </w:p>
    <w:sectPr w:rsidR="00A77B8C" w:rsidRPr="00A21D0F" w:rsidSect="00D6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772093"/>
    <w:rsid w:val="00772093"/>
    <w:rsid w:val="00A21D0F"/>
    <w:rsid w:val="00A77B8C"/>
    <w:rsid w:val="00DC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2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2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72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2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209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7688</Words>
  <Characters>43826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 Сергей Леонидович</dc:creator>
  <cp:lastModifiedBy>User22</cp:lastModifiedBy>
  <cp:revision>2</cp:revision>
  <dcterms:created xsi:type="dcterms:W3CDTF">2026-05-13T01:42:00Z</dcterms:created>
  <dcterms:modified xsi:type="dcterms:W3CDTF">2026-05-13T01:42:00Z</dcterms:modified>
</cp:coreProperties>
</file>