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5F" w:rsidRPr="00AE66A8" w:rsidRDefault="00FC385F">
      <w:pPr>
        <w:pStyle w:val="ConsPlusTitlePage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br/>
      </w:r>
    </w:p>
    <w:p w:rsidR="00FC385F" w:rsidRPr="00AE66A8" w:rsidRDefault="00FC385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C385F" w:rsidRPr="00AE66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385F" w:rsidRPr="00AE66A8" w:rsidRDefault="00FC385F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385F" w:rsidRPr="00AE66A8" w:rsidRDefault="00AE66A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C385F" w:rsidRPr="00AE66A8">
              <w:rPr>
                <w:rFonts w:ascii="Times New Roman" w:hAnsi="Times New Roman" w:cs="Times New Roman"/>
                <w:color w:val="000000" w:themeColor="text1"/>
              </w:rPr>
              <w:t> 78-ЗС</w:t>
            </w:r>
          </w:p>
        </w:tc>
      </w:tr>
    </w:tbl>
    <w:p w:rsidR="00FC385F" w:rsidRPr="00AE66A8" w:rsidRDefault="00FC38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АЛТАЙСКИЙ КРАЙ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ЗАКОН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О ПРИМЕНЕНИИ ИНДИВИДУАЛЬНЫМИ ПРЕДПРИНИМАТЕЛЯМИ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ПАТЕНТНОЙ</w:t>
      </w:r>
      <w:proofErr w:type="gramEnd"/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СИСТЕМЫ НАЛОГООБЛОЖЕНИЯ НА ТЕРРИТОРИИ АЛТАЙСКОГО КРАЯ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AE66A8">
        <w:rPr>
          <w:rFonts w:ascii="Times New Roman" w:hAnsi="Times New Roman" w:cs="Times New Roman"/>
          <w:color w:val="000000" w:themeColor="text1"/>
        </w:rPr>
        <w:t>Принят</w:t>
      </w:r>
      <w:proofErr w:type="gramEnd"/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Постановлением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Алтайского</w:t>
      </w:r>
      <w:proofErr w:type="gramEnd"/>
      <w:r w:rsidRPr="00AE66A8">
        <w:rPr>
          <w:rFonts w:ascii="Times New Roman" w:hAnsi="Times New Roman" w:cs="Times New Roman"/>
          <w:color w:val="000000" w:themeColor="text1"/>
        </w:rPr>
        <w:t xml:space="preserve"> краевого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Законодательного Собрания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от 29.10.2012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520</w:t>
      </w:r>
    </w:p>
    <w:p w:rsidR="00FC385F" w:rsidRPr="00AE66A8" w:rsidRDefault="00FC385F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C385F" w:rsidRPr="00AE6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E66A8">
              <w:rPr>
                <w:rFonts w:ascii="Times New Roman" w:hAnsi="Times New Roman" w:cs="Times New Roman"/>
                <w:color w:val="000000" w:themeColor="text1"/>
              </w:rPr>
              <w:t>(в ред. Законов Алтайского края</w:t>
            </w:r>
            <w:proofErr w:type="gramEnd"/>
          </w:p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от 24.06.2015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50-ЗС, от 09.11.2015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104-ЗС, от 20.12.2016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90-ЗС,</w:t>
            </w:r>
          </w:p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от 30.11.2017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88-ЗС, от 28.11.2019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101-ЗС, от 27.11.2020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88-ЗС)</w:t>
            </w:r>
          </w:p>
        </w:tc>
      </w:tr>
    </w:tbl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Статья 1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Настоящий Закон принят в соответствии с главой 26.5 Налогового кодекса Российской Федерации и предусматривает возможность применения патентной системы налогообложения на территории Алтайского края индивидуальными предпринимателями, осуществляющими виды предпринимательской деятельности, установленные статьей 346.43 Налогового кодекса Российской Федерации.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Статья 2</w:t>
      </w:r>
    </w:p>
    <w:p w:rsidR="00FC385F" w:rsidRPr="00AE66A8" w:rsidRDefault="00FC38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(в ред. Закона Алтайского края от 24.06.2015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50-ЗС)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1. Установить в соответствии с приложением 1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к настоящему Закону размеры потенциально возможного к получению индивидуальными предпринимателями годового дохода на территории Алтайского края на один физический показатель в зависимости</w:t>
      </w:r>
      <w:proofErr w:type="gramEnd"/>
      <w:r w:rsidRPr="00AE66A8">
        <w:rPr>
          <w:rFonts w:ascii="Times New Roman" w:hAnsi="Times New Roman" w:cs="Times New Roman"/>
          <w:color w:val="000000" w:themeColor="text1"/>
        </w:rPr>
        <w:t xml:space="preserve"> от территории действия патентов по следующим группам муниципальных образований: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а) 1-я группа - город Барнаул;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б) 2-я группа - города: Бийск, Рубцовск, Новоалтайск, Заринск, Белокуриха;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в) 3-я группа - города: Алейск, Славгород,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Яровое</w:t>
      </w:r>
      <w:proofErr w:type="gramEnd"/>
      <w:r w:rsidRPr="00AE66A8">
        <w:rPr>
          <w:rFonts w:ascii="Times New Roman" w:hAnsi="Times New Roman" w:cs="Times New Roman"/>
          <w:color w:val="000000" w:themeColor="text1"/>
        </w:rPr>
        <w:t xml:space="preserve">;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 xml:space="preserve">административные центры: город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Камень-на-Оби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Каменского района, село Алтайское Алтайского района, рабочий поселок Благовещенка Благовещенского района, село Волчиха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Волчихинского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 Завьялово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Завьяловского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город Змеиногорск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Змеиногорского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 Зональное Зонального района, город Горняк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 Кулунда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Кулундинского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Мамонтово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Мамонтовского района, село Михайловское Михайловского района, село Павловск Павловского района, село Поспелиха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Поспелихинского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 Ребриха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Ребрихинского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</w:t>
      </w:r>
      <w:proofErr w:type="gramEnd"/>
      <w:r w:rsidRPr="00AE66A8">
        <w:rPr>
          <w:rFonts w:ascii="Times New Roman" w:hAnsi="Times New Roman" w:cs="Times New Roman"/>
          <w:color w:val="000000" w:themeColor="text1"/>
        </w:rPr>
        <w:t xml:space="preserve"> Родино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Родинского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 Топчиха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Топчихинского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 Троицкое Троицкого района, рабочий поселок Тальменка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Тальменского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района, село Шипуново </w:t>
      </w:r>
      <w:proofErr w:type="spellStart"/>
      <w:r w:rsidRPr="00AE66A8">
        <w:rPr>
          <w:rFonts w:ascii="Times New Roman" w:hAnsi="Times New Roman" w:cs="Times New Roman"/>
          <w:color w:val="000000" w:themeColor="text1"/>
        </w:rPr>
        <w:t>Шипуновского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 xml:space="preserve"> района;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E66A8">
        <w:rPr>
          <w:rFonts w:ascii="Times New Roman" w:hAnsi="Times New Roman" w:cs="Times New Roman"/>
          <w:color w:val="000000" w:themeColor="text1"/>
        </w:rPr>
        <w:t xml:space="preserve">г) 4-я группа - административные центры сельских и национального районов Алтайского </w:t>
      </w:r>
      <w:r w:rsidRPr="00AE66A8">
        <w:rPr>
          <w:rFonts w:ascii="Times New Roman" w:hAnsi="Times New Roman" w:cs="Times New Roman"/>
          <w:color w:val="000000" w:themeColor="text1"/>
        </w:rPr>
        <w:lastRenderedPageBreak/>
        <w:t>края, не вошедшие в 3-ю группу муниципальных образований;</w:t>
      </w:r>
      <w:proofErr w:type="gramEnd"/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E66A8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AE66A8">
        <w:rPr>
          <w:rFonts w:ascii="Times New Roman" w:hAnsi="Times New Roman" w:cs="Times New Roman"/>
          <w:color w:val="000000" w:themeColor="text1"/>
        </w:rPr>
        <w:t>) 5-я группа - населенные пункты Алтайского края, не вошедшие в 3-ю и 4-ю группы муниципальных образований, с численностью населения, превышающей 500 человек;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е) 6-я группа - населенные пункты Алтайского края с численностью населения, не превышающей 500 человек.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(часть 1 в ред. Закона Алтайского края от 27.11.2020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88-ЗС)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2. Размер потенциально возможного к получению индивидуальными предпринимателями годового дохода на территории Алтайского края рассчитывается путем умножения следующих значений: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размер потенциально возможного к получению индивидуальными предпринимателями годового дохода, установленного на один физический показатель, характеризующий вид предпринимательской деятельности в зависимости от территории действия патентов, согласно приложению 1 к настоящему Закону;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сумма физических показателей, характеризующих определенный вид предпринимательской деятельности (только для видов предпринимательской деятельности, указанных в пунктах 10, 11, 19, 26, 27, 32, 33, 38, 39, 42 - 47 приложения 1 к настоящему Закону;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(в ред. Законов Алтайского края от 20.12.2016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90-ЗС, от 27.11.2020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88-ЗС)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E66A8">
        <w:rPr>
          <w:rFonts w:ascii="Times New Roman" w:hAnsi="Times New Roman" w:cs="Times New Roman"/>
          <w:color w:val="000000" w:themeColor="text1"/>
        </w:rPr>
        <w:t>коэффициент дифференциации размера потенциально возможного к получению индивидуальными предпринимателями годового дохода в зависимости от средней численности наемных работников согласно приложению 2 к настоящему Закону (не применяется при осуществлении индивидуальными предпринимателями видов деятельности, указанных в пунктах 10, 11, 19, 26, 27, 32, 33, 38, 39, 42 - 47 приложения 1 к настоящему Закону).</w:t>
      </w:r>
      <w:proofErr w:type="gramEnd"/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(в ред. Законов Алтайского края от 20.12.2016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90-ЗС, от 27.11.2020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88-ЗС)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3 - 4. Утратили силу с 1 января 2021 года. - Закон Алтайского края от 27.11.2020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88-ЗС.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5. Установить следующие ограничения для применения патентной системы налогообложения: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1) общая площадь сдаваемых в аренду (наем) собственных или арендованных жилых помещений, а также собственных или арендованных нежилых помещений (включая выставочные залы, складские помещения), земельных участков по виду деятельности, указанному в пункте 19 Приложения 1 к настоящему Закону, не может превышать: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(в ред. Закона Алтайского края от 27.11.2020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88-ЗС)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а) по жилым помещениям - 300 квадратных метров;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б) по нежилым помещениям - 1000 квадратных метров;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2) общее количество автотранспортных средств и судов водного транспорта по видам предпринимательской деятельности, указанным в пунктах 10 и 11, 32 и 33 Приложения 1 к настоящему Закону, не может превышать: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а) по перевозке грузов автомобильным и водным транспортом - 10 транспортных средства;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б) по перевозке пассажиров автомобильным и водным транспортом - 10 транспортных средств;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3) общее количество объектов стационарной и нестационарной торговой сети и объектов организации общественного питания по видам предпринимательской деятельности, указанным в </w:t>
      </w:r>
      <w:r w:rsidRPr="00AE66A8">
        <w:rPr>
          <w:rFonts w:ascii="Times New Roman" w:hAnsi="Times New Roman" w:cs="Times New Roman"/>
          <w:color w:val="000000" w:themeColor="text1"/>
        </w:rPr>
        <w:lastRenderedPageBreak/>
        <w:t>пунктах 45 - 47, 53 Приложения 1 к настоящему Закону, не может превышать: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а) по объектам стационарной торговой сети с площадью торгового зала не более 150 квадратных метров - 3 обособленных объекта;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(в ред. Закона Алтайского края от 27.11.2020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88-ЗС)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б) по объектам стационарной торговой сети, не имеющих торговых залов, и объектам нестационарной рабочей сети - 5 обособленных объектов;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в) по объектам организации общественного питания с площадью зала обслуживания посетителей не более 150 квадратных метров, за исключением закусочных и прочих предприятий быстрого питания без предоставления мест для сидения - 3 обособленных объекта;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(в ред. Закона Алтайского края от 27.11.2020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88-ЗС)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г) по объектам организации общественного питания в виде закусочных и прочих предприятий быстрого питания без предоставления мест для сидения - 5 обособленных объектов.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(часть 5 введена Законом Алтайского края от 28.11.2019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101-ЗС)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Статья 3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Губернатор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А.Б.КАРЛИН</w:t>
      </w:r>
    </w:p>
    <w:p w:rsidR="00FC385F" w:rsidRPr="00AE66A8" w:rsidRDefault="00FC385F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г. Барнаул</w:t>
      </w:r>
    </w:p>
    <w:p w:rsidR="00FC385F" w:rsidRPr="00AE66A8" w:rsidRDefault="00FC385F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30 октября 2012 года</w:t>
      </w:r>
    </w:p>
    <w:p w:rsidR="00FC385F" w:rsidRPr="00AE66A8" w:rsidRDefault="00AE66A8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FC385F" w:rsidRPr="00AE66A8">
        <w:rPr>
          <w:rFonts w:ascii="Times New Roman" w:hAnsi="Times New Roman" w:cs="Times New Roman"/>
          <w:color w:val="000000" w:themeColor="text1"/>
        </w:rPr>
        <w:t xml:space="preserve"> 78-ЗС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Приложение 1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к Закону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"О применении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индивидуальными</w:t>
      </w:r>
      <w:proofErr w:type="gramEnd"/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предпринимателями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патентной</w:t>
      </w:r>
      <w:proofErr w:type="gramEnd"/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системы налогообложения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на</w:t>
      </w:r>
      <w:proofErr w:type="gramEnd"/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территории Алтайского края"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82"/>
      <w:bookmarkEnd w:id="0"/>
      <w:r w:rsidRPr="00AE66A8">
        <w:rPr>
          <w:rFonts w:ascii="Times New Roman" w:hAnsi="Times New Roman" w:cs="Times New Roman"/>
          <w:color w:val="000000" w:themeColor="text1"/>
        </w:rPr>
        <w:t>РАЗМЕРЫ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ПОТЕНЦИАЛЬНО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ВОЗМОЖНОГО</w:t>
      </w:r>
      <w:proofErr w:type="gramEnd"/>
      <w:r w:rsidRPr="00AE66A8">
        <w:rPr>
          <w:rFonts w:ascii="Times New Roman" w:hAnsi="Times New Roman" w:cs="Times New Roman"/>
          <w:color w:val="000000" w:themeColor="text1"/>
        </w:rPr>
        <w:t xml:space="preserve"> К ПОЛУЧЕНИЮ ИНДИВИДУАЛЬНЫМИ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ПРЕДПРИНИМАТЕЛЯМИ ГОДОВОГО ДОХОДА ПО ВИДАМ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ПРЕДПРИНИМАТЕЛЬСКОЙ ДЕЯТЕЛЬНОСТИ, В ОТНОШЕНИИ КОТОРЫХ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ПРИМЕНЯЕТСЯ ПАТЕНТНАЯ СИСТЕМА НАЛОГООБЛОЖЕНИЯ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НА ТЕРРИТОРИИ АЛТАЙСКОГО КРАЯ</w:t>
      </w:r>
    </w:p>
    <w:p w:rsidR="00FC385F" w:rsidRPr="00AE66A8" w:rsidRDefault="00FC385F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C385F" w:rsidRPr="00AE6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(в ред. Закона Алтайского края от 27.11.2020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88-ЗС)</w:t>
            </w:r>
          </w:p>
        </w:tc>
      </w:tr>
    </w:tbl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rPr>
          <w:rFonts w:ascii="Times New Roman" w:hAnsi="Times New Roman" w:cs="Times New Roman"/>
          <w:color w:val="000000" w:themeColor="text1"/>
        </w:rPr>
        <w:sectPr w:rsidR="00FC385F" w:rsidRPr="00AE66A8" w:rsidSect="00E33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2551"/>
        <w:gridCol w:w="814"/>
        <w:gridCol w:w="814"/>
        <w:gridCol w:w="814"/>
        <w:gridCol w:w="814"/>
        <w:gridCol w:w="814"/>
        <w:gridCol w:w="814"/>
      </w:tblGrid>
      <w:tr w:rsidR="00FC385F" w:rsidRPr="00AE66A8">
        <w:tc>
          <w:tcPr>
            <w:tcW w:w="624" w:type="dxa"/>
            <w:vMerge w:val="restart"/>
          </w:tcPr>
          <w:p w:rsidR="00FC385F" w:rsidRPr="00AE66A8" w:rsidRDefault="00AE66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C385F" w:rsidRPr="00AE66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="00FC385F" w:rsidRPr="00AE66A8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="00FC385F" w:rsidRPr="00AE66A8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FC385F" w:rsidRPr="00AE66A8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Виды предпринимательской деятельности, на которые индивидуальные предприниматели могут приобретать патенты</w:t>
            </w:r>
          </w:p>
        </w:tc>
        <w:tc>
          <w:tcPr>
            <w:tcW w:w="2551" w:type="dxa"/>
            <w:vMerge w:val="restart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Физический показатель, характеризующий вид предпринимательской деятельности</w:t>
            </w:r>
          </w:p>
        </w:tc>
        <w:tc>
          <w:tcPr>
            <w:tcW w:w="4884" w:type="dxa"/>
            <w:gridSpan w:val="6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Потенциально возможный годовой доход на единицу показателя в зависимости от территории действия патентов, тыс. рублей</w:t>
            </w:r>
          </w:p>
        </w:tc>
      </w:tr>
      <w:tr w:rsidR="00FC385F" w:rsidRPr="00AE66A8">
        <w:tc>
          <w:tcPr>
            <w:tcW w:w="624" w:type="dxa"/>
            <w:vMerge/>
          </w:tcPr>
          <w:p w:rsidR="00FC385F" w:rsidRPr="00AE66A8" w:rsidRDefault="00FC38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C385F" w:rsidRPr="00AE66A8" w:rsidRDefault="00FC38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C385F" w:rsidRPr="00AE66A8" w:rsidRDefault="00FC38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1-я группа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2-я группа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3-я группа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4-я группа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5-я группа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6-я группа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Ремонт, чистка, окраска и пошив обуви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Парикмахерские и косметические услуги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химической чистке перопуховых изделий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Ремонт мебели и предметов домашнего обихода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в области фотографии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Ремонт, техническое обслуживание автотранспортных и </w:t>
            </w:r>
            <w:proofErr w:type="spellStart"/>
            <w:r w:rsidRPr="00AE66A8">
              <w:rPr>
                <w:rFonts w:ascii="Times New Roman" w:hAnsi="Times New Roman" w:cs="Times New Roman"/>
                <w:color w:val="000000" w:themeColor="text1"/>
              </w:rPr>
              <w:t>мототранспортных</w:t>
            </w:r>
            <w:proofErr w:type="spellEnd"/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374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264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</w:tr>
      <w:tr w:rsidR="00FC385F" w:rsidRPr="00AE66A8">
        <w:tc>
          <w:tcPr>
            <w:tcW w:w="624" w:type="dxa"/>
            <w:vMerge w:val="restart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200"/>
            <w:bookmarkEnd w:id="1"/>
            <w:r w:rsidRPr="00AE66A8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835" w:type="dxa"/>
            <w:vMerge w:val="restart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одна тонна грузоподъемности транспортных сре</w:t>
            </w:r>
            <w:proofErr w:type="gramStart"/>
            <w:r w:rsidRPr="00AE66A8">
              <w:rPr>
                <w:rFonts w:ascii="Times New Roman" w:hAnsi="Times New Roman" w:cs="Times New Roman"/>
                <w:color w:val="000000" w:themeColor="text1"/>
              </w:rPr>
              <w:t>дств гр</w:t>
            </w:r>
            <w:proofErr w:type="gramEnd"/>
            <w:r w:rsidRPr="00AE66A8">
              <w:rPr>
                <w:rFonts w:ascii="Times New Roman" w:hAnsi="Times New Roman" w:cs="Times New Roman"/>
                <w:color w:val="000000" w:themeColor="text1"/>
              </w:rPr>
              <w:t>узоподъемностью до 5 тонн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FC385F" w:rsidRPr="00AE66A8">
        <w:tc>
          <w:tcPr>
            <w:tcW w:w="624" w:type="dxa"/>
            <w:vMerge/>
          </w:tcPr>
          <w:p w:rsidR="00FC385F" w:rsidRPr="00AE66A8" w:rsidRDefault="00FC38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C385F" w:rsidRPr="00AE66A8" w:rsidRDefault="00FC38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одна тонна грузоподъемности транспортных сре</w:t>
            </w:r>
            <w:proofErr w:type="gramStart"/>
            <w:r w:rsidRPr="00AE66A8">
              <w:rPr>
                <w:rFonts w:ascii="Times New Roman" w:hAnsi="Times New Roman" w:cs="Times New Roman"/>
                <w:color w:val="000000" w:themeColor="text1"/>
              </w:rPr>
              <w:t>дств гр</w:t>
            </w:r>
            <w:proofErr w:type="gramEnd"/>
            <w:r w:rsidRPr="00AE66A8">
              <w:rPr>
                <w:rFonts w:ascii="Times New Roman" w:hAnsi="Times New Roman" w:cs="Times New Roman"/>
                <w:color w:val="000000" w:themeColor="text1"/>
              </w:rPr>
              <w:t>узоподъемностью свыше 5 тонн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P216"/>
            <w:bookmarkEnd w:id="2"/>
            <w:r w:rsidRPr="00AE66A8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в том числе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11.1.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 сухопутного пассажирского транспорта: перевозки пассажиров в городском и пригородном сообщении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одно пассажирское место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11.2.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одно пассажирское место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228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остеклению балконов и лоджий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264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14.1.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нарезка стекла и зеркал, художественная обработка стекла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присмотру и уходу за детьми и больными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Сбор тары и пригодных для вторичного использования материалов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 ветеринарная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P315"/>
            <w:bookmarkEnd w:id="3"/>
            <w:r w:rsidRPr="00AE66A8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 квадратный метр площади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Изготовление изделий народных художественных промыслов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Производство и реставрация ковров и ковровых изделий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Ремонт ювелирных изделий, бижутерии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228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Чеканка и гравировка ювелирных изделий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P378"/>
            <w:bookmarkEnd w:id="4"/>
            <w:r w:rsidRPr="00AE66A8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P387"/>
            <w:bookmarkEnd w:id="5"/>
            <w:r w:rsidRPr="00AE66A8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Проведение занятий по физической культуре и спорту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платных туалетов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P432"/>
            <w:bookmarkEnd w:id="6"/>
            <w:r w:rsidRPr="00AE66A8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Оказание услуг по перевозке пассажиров водным транспортом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одно пассажирское место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P441"/>
            <w:bookmarkEnd w:id="7"/>
            <w:r w:rsidRPr="00AE66A8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Оказание услуг по перевозке грузов водным транспортом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одна тонна грузоподъемности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247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 по благоустройству ландшафта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P486"/>
            <w:bookmarkEnd w:id="8"/>
            <w:r w:rsidRPr="00AE66A8">
              <w:rPr>
                <w:rFonts w:ascii="Times New Roman" w:hAnsi="Times New Roman" w:cs="Times New Roman"/>
                <w:color w:val="000000" w:themeColor="text1"/>
              </w:rPr>
              <w:t>38.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61-ФЗ "Об обращении лекарственных средств"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9" w:name="P495"/>
            <w:bookmarkEnd w:id="9"/>
            <w:r w:rsidRPr="00AE66A8">
              <w:rPr>
                <w:rFonts w:ascii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272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прокату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экскурсионные туристические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0" w:name="P522"/>
            <w:bookmarkEnd w:id="10"/>
            <w:r w:rsidRPr="00AE66A8"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Организация похорон и предоставление связанных с ними услуг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407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326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уличных патрулей, охранников, сторожей и вахтеров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</w:tr>
      <w:tr w:rsidR="00FC385F" w:rsidRPr="00AE66A8">
        <w:tc>
          <w:tcPr>
            <w:tcW w:w="624" w:type="dxa"/>
            <w:vMerge w:val="restart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1" w:name="P549"/>
            <w:bookmarkEnd w:id="11"/>
            <w:r w:rsidRPr="00AE66A8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2835" w:type="dxa"/>
            <w:vMerge w:val="restart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сети, имеющие торговые залы &lt;**&gt;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количество обособленных объектов с площадью не более 50 квадратных метров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660</w:t>
            </w:r>
          </w:p>
        </w:tc>
      </w:tr>
      <w:tr w:rsidR="00FC385F" w:rsidRPr="00AE66A8">
        <w:tc>
          <w:tcPr>
            <w:tcW w:w="624" w:type="dxa"/>
            <w:vMerge/>
          </w:tcPr>
          <w:p w:rsidR="00FC385F" w:rsidRPr="00AE66A8" w:rsidRDefault="00FC38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C385F" w:rsidRPr="00AE66A8" w:rsidRDefault="00FC38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количество обособленных объектов с площадью более 50 квадратных метров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3400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1320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&lt;**&gt;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количество обособленных объектов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315 &lt;*&gt;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270 &lt;*&gt;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149 &lt;*&gt;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2" w:name="P574"/>
            <w:bookmarkEnd w:id="12"/>
            <w:r w:rsidRPr="00AE66A8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количество обособленных объектов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Оказание услуг по забою и транспортировке скота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AE66A8">
              <w:rPr>
                <w:rFonts w:ascii="Times New Roman" w:hAnsi="Times New Roman" w:cs="Times New Roman"/>
                <w:color w:val="000000" w:themeColor="text1"/>
              </w:rPr>
              <w:t>недревесных</w:t>
            </w:r>
            <w:proofErr w:type="spellEnd"/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лесных ресурсов и лекарственных растений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Переработка и консервирование фруктов и овощей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3" w:name="P628"/>
            <w:bookmarkEnd w:id="13"/>
            <w:r w:rsidRPr="00AE66A8">
              <w:rPr>
                <w:rFonts w:ascii="Times New Roman" w:hAnsi="Times New Roman" w:cs="Times New Roman"/>
                <w:color w:val="000000" w:themeColor="text1"/>
              </w:rPr>
              <w:t>53.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Производство молочной продукции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54.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Растениеводство, услуги в области растениеводства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55.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Производство хлебобулочных и мучных кондитерских изделий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56.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57.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Лесоводство и прочая лесохозяйственная деятельность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58.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 по письменному и устному переводу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59.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 по уходу за престарелыми и инвалидами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Резка, обработка и отделка камня для памятников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Ремонт компьютеров и коммуникационного оборудования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64.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Животноводство, услуги в области животноводства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65.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Деятельность стоянок для транспортных средств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квадратный метр площади стоянки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66.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67.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уходу за домашними животными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68.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69.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изготовлению валяной обуви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Ремонт игрушек и подобных им изделий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74.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Ремонт спортивного и туристического оборудования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75.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76.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Услуги по распиловке дров по индивидуальному заказу населения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77.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Сборка и ремонт очков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78.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79.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Переплетные, брошюровочные, окантовочные, картонажные работы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Услуги по ремонту сифонов и </w:t>
            </w:r>
            <w:proofErr w:type="spellStart"/>
            <w:r w:rsidRPr="00AE66A8">
              <w:rPr>
                <w:rFonts w:ascii="Times New Roman" w:hAnsi="Times New Roman" w:cs="Times New Roman"/>
                <w:color w:val="000000" w:themeColor="text1"/>
              </w:rPr>
              <w:t>автосифонов</w:t>
            </w:r>
            <w:proofErr w:type="spellEnd"/>
            <w:r w:rsidRPr="00AE66A8">
              <w:rPr>
                <w:rFonts w:ascii="Times New Roman" w:hAnsi="Times New Roman" w:cs="Times New Roman"/>
                <w:color w:val="000000" w:themeColor="text1"/>
              </w:rPr>
              <w:t>, в том числе зарядка газовых баллончиков для сифонов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81.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Производство рафинированного подсолнечного масла и его фракций; производство нерафинированного подсолнечного масла и его фракций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82.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Производство колбасных изделий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FC385F" w:rsidRPr="00AE66A8">
        <w:tc>
          <w:tcPr>
            <w:tcW w:w="624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83.</w:t>
            </w:r>
          </w:p>
        </w:tc>
        <w:tc>
          <w:tcPr>
            <w:tcW w:w="2835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Переработка и консервирование картофеля; прядение кардное шерстяных волокон; прядение гребенное шерстяных волокон</w:t>
            </w:r>
          </w:p>
        </w:tc>
        <w:tc>
          <w:tcPr>
            <w:tcW w:w="2551" w:type="dxa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14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</w:tbl>
    <w:p w:rsidR="00FC385F" w:rsidRPr="00AE66A8" w:rsidRDefault="00FC385F">
      <w:pPr>
        <w:rPr>
          <w:rFonts w:ascii="Times New Roman" w:hAnsi="Times New Roman" w:cs="Times New Roman"/>
          <w:color w:val="000000" w:themeColor="text1"/>
        </w:rPr>
        <w:sectPr w:rsidR="00FC385F" w:rsidRPr="00AE66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4" w:name="P909"/>
      <w:bookmarkEnd w:id="14"/>
      <w:r w:rsidRPr="00AE66A8">
        <w:rPr>
          <w:rFonts w:ascii="Times New Roman" w:hAnsi="Times New Roman" w:cs="Times New Roman"/>
          <w:color w:val="000000" w:themeColor="text1"/>
        </w:rPr>
        <w:t>&lt;*&gt; За исключением развозной и разносной розничной торговли, для которой потенциально возможный годовой доход на единицу показателя составляет 450 тыс. рублей.</w:t>
      </w:r>
    </w:p>
    <w:p w:rsidR="00FC385F" w:rsidRPr="00AE66A8" w:rsidRDefault="00FC38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5" w:name="P910"/>
      <w:bookmarkEnd w:id="15"/>
      <w:proofErr w:type="gramStart"/>
      <w:r w:rsidRPr="00AE66A8">
        <w:rPr>
          <w:rFonts w:ascii="Times New Roman" w:hAnsi="Times New Roman" w:cs="Times New Roman"/>
          <w:color w:val="000000" w:themeColor="text1"/>
        </w:rPr>
        <w:t xml:space="preserve">&lt;**&gt;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</w:t>
      </w:r>
      <w:r w:rsidR="00AE66A8">
        <w:rPr>
          <w:rFonts w:ascii="Times New Roman" w:hAnsi="Times New Roman" w:cs="Times New Roman"/>
          <w:color w:val="000000" w:themeColor="text1"/>
        </w:rPr>
        <w:t>№</w:t>
      </w:r>
      <w:r w:rsidRPr="00AE66A8">
        <w:rPr>
          <w:rFonts w:ascii="Times New Roman" w:hAnsi="Times New Roman" w:cs="Times New Roman"/>
          <w:color w:val="000000" w:themeColor="text1"/>
        </w:rPr>
        <w:t xml:space="preserve"> 61-ФЗ "Об обращении лекарственных средств",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</w:t>
      </w:r>
      <w:proofErr w:type="gramEnd"/>
      <w:r w:rsidRPr="00AE66A8">
        <w:rPr>
          <w:rFonts w:ascii="Times New Roman" w:hAnsi="Times New Roman" w:cs="Times New Roman"/>
          <w:color w:val="000000" w:themeColor="text1"/>
        </w:rPr>
        <w:t xml:space="preserve">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Федерации.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Приложение 2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к Закону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"О применении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индивидуальными</w:t>
      </w:r>
      <w:proofErr w:type="gramEnd"/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предпринимателями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патентной</w:t>
      </w:r>
      <w:proofErr w:type="gramEnd"/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системы налогообложения</w:t>
      </w:r>
    </w:p>
    <w:p w:rsidR="00FC385F" w:rsidRPr="00AE66A8" w:rsidRDefault="00FC385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на территории Алтайского края"</w:t>
      </w: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C385F" w:rsidRPr="00AE6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85F" w:rsidRPr="00AE66A8" w:rsidRDefault="00FC38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С 01.01.2022 прил. 2 утрачивает силу (п. 3 с. 1 Закона Алтайского края от 27.11.2020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88-ЗС).</w:t>
            </w:r>
          </w:p>
        </w:tc>
      </w:tr>
    </w:tbl>
    <w:p w:rsidR="00FC385F" w:rsidRPr="00AE66A8" w:rsidRDefault="00FC385F">
      <w:pPr>
        <w:pStyle w:val="ConsPlusTitle"/>
        <w:spacing w:before="280"/>
        <w:jc w:val="center"/>
        <w:rPr>
          <w:rFonts w:ascii="Times New Roman" w:hAnsi="Times New Roman" w:cs="Times New Roman"/>
          <w:color w:val="000000" w:themeColor="text1"/>
        </w:rPr>
      </w:pPr>
      <w:bookmarkStart w:id="16" w:name="P925"/>
      <w:bookmarkEnd w:id="16"/>
      <w:r w:rsidRPr="00AE66A8">
        <w:rPr>
          <w:rFonts w:ascii="Times New Roman" w:hAnsi="Times New Roman" w:cs="Times New Roman"/>
          <w:color w:val="000000" w:themeColor="text1"/>
        </w:rPr>
        <w:t>КОЭФФИЦИЕНТЫ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ДИФФЕРЕНЦИАЦИИ РАЗМЕРА ПОТЕНЦИАЛЬНО ВОЗМОЖНОГО К ПОЛУЧЕНИЮ</w:t>
      </w:r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 xml:space="preserve">ИНДИВИДУАЛЬНЫМИ ПРЕДПРИНИМАТЕЛЯМИ ГОДОВОГО ДОХОДА </w:t>
      </w:r>
      <w:proofErr w:type="gramStart"/>
      <w:r w:rsidRPr="00AE66A8">
        <w:rPr>
          <w:rFonts w:ascii="Times New Roman" w:hAnsi="Times New Roman" w:cs="Times New Roman"/>
          <w:color w:val="000000" w:themeColor="text1"/>
        </w:rPr>
        <w:t>В</w:t>
      </w:r>
      <w:proofErr w:type="gramEnd"/>
    </w:p>
    <w:p w:rsidR="00FC385F" w:rsidRPr="00AE66A8" w:rsidRDefault="00FC385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E66A8">
        <w:rPr>
          <w:rFonts w:ascii="Times New Roman" w:hAnsi="Times New Roman" w:cs="Times New Roman"/>
          <w:color w:val="000000" w:themeColor="text1"/>
        </w:rPr>
        <w:t>ЗАВИСИМОСТИ ОТ СРЕДНЕЙ ЧИСЛЕННОСТИ НАЕМНЫХ РАБОТНИКОВ</w:t>
      </w:r>
    </w:p>
    <w:p w:rsidR="00FC385F" w:rsidRPr="00AE66A8" w:rsidRDefault="00FC385F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C385F" w:rsidRPr="00AE6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(в ред. Закона Алтайского края от 30.11.2017 </w:t>
            </w:r>
            <w:r w:rsidR="00AE66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E66A8">
              <w:rPr>
                <w:rFonts w:ascii="Times New Roman" w:hAnsi="Times New Roman" w:cs="Times New Roman"/>
                <w:color w:val="000000" w:themeColor="text1"/>
              </w:rPr>
              <w:t xml:space="preserve"> 88-ЗС)</w:t>
            </w:r>
          </w:p>
        </w:tc>
      </w:tr>
    </w:tbl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345"/>
      </w:tblGrid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Средняя численность наемных работников (человек)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Коэффициент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1,4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5,4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5,7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6,4</w:t>
            </w:r>
          </w:p>
        </w:tc>
      </w:tr>
      <w:tr w:rsidR="00FC385F" w:rsidRPr="00AE66A8">
        <w:tc>
          <w:tcPr>
            <w:tcW w:w="3458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345" w:type="dxa"/>
          </w:tcPr>
          <w:p w:rsidR="00FC385F" w:rsidRPr="00AE66A8" w:rsidRDefault="00FC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66A8">
              <w:rPr>
                <w:rFonts w:ascii="Times New Roman" w:hAnsi="Times New Roman" w:cs="Times New Roman"/>
                <w:color w:val="000000" w:themeColor="text1"/>
              </w:rPr>
              <w:t>6,7</w:t>
            </w:r>
          </w:p>
        </w:tc>
      </w:tr>
    </w:tbl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385F" w:rsidRPr="00AE66A8" w:rsidRDefault="00FC38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F0076C" w:rsidRPr="00AE66A8" w:rsidRDefault="00F0076C">
      <w:pPr>
        <w:rPr>
          <w:rFonts w:ascii="Times New Roman" w:hAnsi="Times New Roman" w:cs="Times New Roman"/>
          <w:color w:val="000000" w:themeColor="text1"/>
        </w:rPr>
      </w:pPr>
    </w:p>
    <w:sectPr w:rsidR="00F0076C" w:rsidRPr="00AE66A8" w:rsidSect="00E138E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5F"/>
    <w:rsid w:val="008E4EC7"/>
    <w:rsid w:val="00AE66A8"/>
    <w:rsid w:val="00F0076C"/>
    <w:rsid w:val="00FC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8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38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3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3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3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38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3674</Words>
  <Characters>20946</Characters>
  <Application>Microsoft Office Word</Application>
  <DocSecurity>0</DocSecurity>
  <Lines>174</Lines>
  <Paragraphs>49</Paragraphs>
  <ScaleCrop>false</ScaleCrop>
  <Company>УФНС РФ по Алтайскому краю</Company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2200-00-444</dc:creator>
  <cp:lastModifiedBy>UFNS</cp:lastModifiedBy>
  <cp:revision>2</cp:revision>
  <dcterms:created xsi:type="dcterms:W3CDTF">2020-12-16T06:06:00Z</dcterms:created>
  <dcterms:modified xsi:type="dcterms:W3CDTF">2020-12-16T06:06:00Z</dcterms:modified>
</cp:coreProperties>
</file>