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F1A" w:rsidRPr="00367CAA" w:rsidRDefault="00094F1A" w:rsidP="00094F1A">
      <w:pPr>
        <w:ind w:firstLine="540"/>
        <w:jc w:val="right"/>
      </w:pPr>
      <w:bookmarkStart w:id="0" w:name="_GoBack"/>
      <w:bookmarkEnd w:id="0"/>
      <w:r w:rsidRPr="00367CAA">
        <w:t xml:space="preserve">Приложение № </w:t>
      </w:r>
      <w:r>
        <w:t>2</w:t>
      </w:r>
    </w:p>
    <w:p w:rsidR="00094F1A" w:rsidRPr="00367CAA" w:rsidRDefault="00094F1A" w:rsidP="00094F1A">
      <w:pPr>
        <w:ind w:firstLine="540"/>
        <w:jc w:val="right"/>
      </w:pPr>
      <w:r w:rsidRPr="00367CAA">
        <w:t>к решению Совета муниципального</w:t>
      </w:r>
    </w:p>
    <w:p w:rsidR="00094F1A" w:rsidRPr="00367CAA" w:rsidRDefault="00094F1A" w:rsidP="00094F1A">
      <w:pPr>
        <w:ind w:firstLine="540"/>
        <w:jc w:val="right"/>
      </w:pPr>
      <w:r w:rsidRPr="00367CAA">
        <w:t>образования Тбилисский район</w:t>
      </w:r>
    </w:p>
    <w:p w:rsidR="00094F1A" w:rsidRDefault="00094F1A" w:rsidP="00094F1A">
      <w:pPr>
        <w:jc w:val="right"/>
        <w:rPr>
          <w:sz w:val="28"/>
        </w:rPr>
      </w:pPr>
      <w:r w:rsidRPr="00367CAA">
        <w:t>от 15.11.2010 г. № 139</w:t>
      </w:r>
    </w:p>
    <w:p w:rsidR="00094F1A" w:rsidRPr="00AC1F31" w:rsidRDefault="00094F1A" w:rsidP="00094F1A">
      <w:pPr>
        <w:jc w:val="center"/>
        <w:rPr>
          <w:b/>
          <w:vertAlign w:val="subscript"/>
        </w:rPr>
      </w:pPr>
      <w:r w:rsidRPr="00AC1F31">
        <w:rPr>
          <w:b/>
        </w:rPr>
        <w:t>Значение коэффициента К</w:t>
      </w:r>
      <w:proofErr w:type="gramStart"/>
      <w:r w:rsidRPr="00AC1F31">
        <w:rPr>
          <w:b/>
          <w:vertAlign w:val="subscript"/>
        </w:rPr>
        <w:t>2</w:t>
      </w:r>
      <w:proofErr w:type="gramEnd"/>
      <w:r w:rsidRPr="00AC1F31">
        <w:rPr>
          <w:b/>
          <w:vertAlign w:val="subscript"/>
        </w:rPr>
        <w:t>.2</w:t>
      </w:r>
      <w:r>
        <w:rPr>
          <w:b/>
          <w:vertAlign w:val="subscript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5104"/>
        <w:gridCol w:w="1980"/>
        <w:gridCol w:w="1800"/>
      </w:tblGrid>
      <w:tr w:rsidR="00094F1A" w:rsidRPr="001C010F" w:rsidTr="008E7EE0">
        <w:tc>
          <w:tcPr>
            <w:tcW w:w="76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4F1A" w:rsidRPr="001C010F" w:rsidRDefault="00094F1A" w:rsidP="008E7EE0">
            <w:pPr>
              <w:jc w:val="center"/>
            </w:pPr>
            <w:r w:rsidRPr="001C010F">
              <w:t xml:space="preserve">№ </w:t>
            </w:r>
            <w:proofErr w:type="gramStart"/>
            <w:r w:rsidRPr="001C010F">
              <w:t>п</w:t>
            </w:r>
            <w:proofErr w:type="gramEnd"/>
            <w:r w:rsidRPr="001C010F">
              <w:t>/п</w:t>
            </w:r>
          </w:p>
        </w:tc>
        <w:tc>
          <w:tcPr>
            <w:tcW w:w="5104" w:type="dxa"/>
            <w:vMerge w:val="restart"/>
            <w:tcBorders>
              <w:top w:val="single" w:sz="12" w:space="0" w:color="auto"/>
            </w:tcBorders>
            <w:vAlign w:val="center"/>
          </w:tcPr>
          <w:p w:rsidR="00094F1A" w:rsidRPr="001C010F" w:rsidRDefault="00094F1A" w:rsidP="008E7EE0">
            <w:pPr>
              <w:jc w:val="both"/>
            </w:pPr>
            <w:r w:rsidRPr="001C010F">
              <w:t>Величина среднемесячной заработной платы</w:t>
            </w:r>
            <w:r>
              <w:t>, выплачиваемой налогоплательщиком единого налога на вмененный доход наемным работн</w:t>
            </w:r>
            <w:r>
              <w:t>и</w:t>
            </w:r>
            <w:r>
              <w:t>кам за налоговый период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4F1A" w:rsidRPr="00484683" w:rsidRDefault="00094F1A" w:rsidP="008E7EE0">
            <w:pPr>
              <w:jc w:val="center"/>
              <w:rPr>
                <w:vertAlign w:val="subscript"/>
              </w:rPr>
            </w:pPr>
            <w:r w:rsidRPr="001C010F">
              <w:t>Значение коэффициента  К</w:t>
            </w:r>
            <w:proofErr w:type="gramStart"/>
            <w:r w:rsidRPr="00484683">
              <w:rPr>
                <w:vertAlign w:val="subscript"/>
              </w:rPr>
              <w:t>2</w:t>
            </w:r>
            <w:proofErr w:type="gramEnd"/>
            <w:r w:rsidRPr="00484683">
              <w:rPr>
                <w:vertAlign w:val="subscript"/>
              </w:rPr>
              <w:t xml:space="preserve">.2 </w:t>
            </w:r>
          </w:p>
        </w:tc>
      </w:tr>
      <w:tr w:rsidR="00094F1A" w:rsidRPr="001C010F" w:rsidTr="008E7EE0">
        <w:tc>
          <w:tcPr>
            <w:tcW w:w="764" w:type="dxa"/>
            <w:vMerge/>
            <w:tcBorders>
              <w:left w:val="single" w:sz="12" w:space="0" w:color="auto"/>
            </w:tcBorders>
            <w:vAlign w:val="center"/>
          </w:tcPr>
          <w:p w:rsidR="00094F1A" w:rsidRPr="001C010F" w:rsidRDefault="00094F1A" w:rsidP="008E7EE0">
            <w:pPr>
              <w:jc w:val="center"/>
            </w:pPr>
          </w:p>
        </w:tc>
        <w:tc>
          <w:tcPr>
            <w:tcW w:w="5104" w:type="dxa"/>
            <w:vMerge/>
            <w:vAlign w:val="center"/>
          </w:tcPr>
          <w:p w:rsidR="00094F1A" w:rsidRPr="001C010F" w:rsidRDefault="00094F1A" w:rsidP="008E7EE0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94F1A" w:rsidRPr="001C010F" w:rsidRDefault="00094F1A" w:rsidP="008E7EE0">
            <w:pPr>
              <w:jc w:val="both"/>
            </w:pPr>
            <w:r w:rsidRPr="001C010F">
              <w:t>Населенные пункты с нас</w:t>
            </w:r>
            <w:r w:rsidRPr="001C010F">
              <w:t>е</w:t>
            </w:r>
            <w:r w:rsidRPr="001C010F">
              <w:t>лением свыше 15 тысяч чел</w:t>
            </w:r>
            <w:r w:rsidRPr="001C010F">
              <w:t>о</w:t>
            </w:r>
            <w:r w:rsidRPr="001C010F">
              <w:t>век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4F1A" w:rsidRPr="001C010F" w:rsidRDefault="00094F1A" w:rsidP="008E7EE0">
            <w:pPr>
              <w:jc w:val="both"/>
            </w:pPr>
            <w:r w:rsidRPr="001C010F">
              <w:t>Прочие нас</w:t>
            </w:r>
            <w:r w:rsidRPr="001C010F">
              <w:t>е</w:t>
            </w:r>
            <w:r w:rsidRPr="001C010F">
              <w:t>лённые пун</w:t>
            </w:r>
            <w:r w:rsidRPr="001C010F">
              <w:t>к</w:t>
            </w:r>
            <w:r w:rsidRPr="001C010F">
              <w:t xml:space="preserve">ты </w:t>
            </w:r>
          </w:p>
        </w:tc>
      </w:tr>
      <w:tr w:rsidR="00094F1A" w:rsidRPr="001C010F" w:rsidTr="008E7EE0">
        <w:tc>
          <w:tcPr>
            <w:tcW w:w="7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4F1A" w:rsidRPr="001C010F" w:rsidRDefault="00094F1A" w:rsidP="008E7EE0">
            <w:pPr>
              <w:jc w:val="center"/>
            </w:pPr>
            <w:r>
              <w:t>1</w:t>
            </w:r>
            <w:r w:rsidRPr="001C010F">
              <w:t>.</w:t>
            </w:r>
          </w:p>
        </w:tc>
        <w:tc>
          <w:tcPr>
            <w:tcW w:w="5104" w:type="dxa"/>
            <w:tcBorders>
              <w:top w:val="single" w:sz="12" w:space="0" w:color="auto"/>
            </w:tcBorders>
            <w:vAlign w:val="center"/>
          </w:tcPr>
          <w:p w:rsidR="00094F1A" w:rsidRPr="001C010F" w:rsidRDefault="00094F1A" w:rsidP="008E7EE0">
            <w:r w:rsidRPr="001C010F">
              <w:t>До 8 000 руб.</w:t>
            </w:r>
            <w:r>
              <w:t xml:space="preserve"> </w:t>
            </w:r>
            <w:r w:rsidRPr="001C010F">
              <w:t>включительно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4F1A" w:rsidRPr="001C010F" w:rsidRDefault="00094F1A" w:rsidP="008E7EE0">
            <w:pPr>
              <w:jc w:val="center"/>
            </w:pPr>
            <w:r w:rsidRPr="001C010F">
              <w:t>1,</w:t>
            </w:r>
            <w:r>
              <w:t>2</w:t>
            </w: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4F1A" w:rsidRPr="001C010F" w:rsidRDefault="00094F1A" w:rsidP="008E7EE0">
            <w:pPr>
              <w:jc w:val="center"/>
            </w:pPr>
            <w:r w:rsidRPr="001C010F">
              <w:t>1,</w:t>
            </w:r>
            <w:r>
              <w:t>1</w:t>
            </w:r>
          </w:p>
        </w:tc>
      </w:tr>
      <w:tr w:rsidR="00094F1A" w:rsidRPr="001C010F" w:rsidTr="008E7EE0">
        <w:tc>
          <w:tcPr>
            <w:tcW w:w="764" w:type="dxa"/>
            <w:tcBorders>
              <w:left w:val="single" w:sz="12" w:space="0" w:color="auto"/>
            </w:tcBorders>
            <w:vAlign w:val="center"/>
          </w:tcPr>
          <w:p w:rsidR="00094F1A" w:rsidRPr="001C010F" w:rsidRDefault="00094F1A" w:rsidP="008E7EE0">
            <w:pPr>
              <w:jc w:val="center"/>
            </w:pPr>
            <w:r>
              <w:t>2.</w:t>
            </w:r>
          </w:p>
        </w:tc>
        <w:tc>
          <w:tcPr>
            <w:tcW w:w="5104" w:type="dxa"/>
            <w:vAlign w:val="center"/>
          </w:tcPr>
          <w:p w:rsidR="00094F1A" w:rsidRPr="001C010F" w:rsidRDefault="00094F1A" w:rsidP="008E7EE0">
            <w:r w:rsidRPr="001C010F">
              <w:t xml:space="preserve">От 8 001 до 10 000 руб.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94F1A" w:rsidRPr="001C010F" w:rsidRDefault="00094F1A" w:rsidP="008E7EE0">
            <w:pPr>
              <w:jc w:val="center"/>
            </w:pPr>
            <w:r w:rsidRPr="001C010F">
              <w:t>1,</w:t>
            </w:r>
            <w:r>
              <w:t>0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4F1A" w:rsidRPr="001C010F" w:rsidRDefault="00094F1A" w:rsidP="008E7EE0">
            <w:pPr>
              <w:jc w:val="center"/>
            </w:pPr>
            <w:r w:rsidRPr="001C010F">
              <w:t>1,</w:t>
            </w:r>
            <w:r>
              <w:t>0</w:t>
            </w:r>
          </w:p>
        </w:tc>
      </w:tr>
      <w:tr w:rsidR="00094F1A" w:rsidRPr="001C010F" w:rsidTr="008E7EE0">
        <w:tc>
          <w:tcPr>
            <w:tcW w:w="764" w:type="dxa"/>
            <w:tcBorders>
              <w:left w:val="single" w:sz="12" w:space="0" w:color="auto"/>
            </w:tcBorders>
            <w:vAlign w:val="center"/>
          </w:tcPr>
          <w:p w:rsidR="00094F1A" w:rsidRPr="001C010F" w:rsidRDefault="00094F1A" w:rsidP="008E7EE0">
            <w:pPr>
              <w:jc w:val="center"/>
            </w:pPr>
            <w:r>
              <w:t>3</w:t>
            </w:r>
            <w:r w:rsidRPr="001C010F">
              <w:t>.</w:t>
            </w:r>
          </w:p>
        </w:tc>
        <w:tc>
          <w:tcPr>
            <w:tcW w:w="5104" w:type="dxa"/>
            <w:vAlign w:val="center"/>
          </w:tcPr>
          <w:p w:rsidR="00094F1A" w:rsidRPr="001C010F" w:rsidRDefault="00094F1A" w:rsidP="008E7EE0">
            <w:r w:rsidRPr="001C010F">
              <w:t>От 10 001 до 12 000 руб.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94F1A" w:rsidRPr="001C010F" w:rsidRDefault="00094F1A" w:rsidP="008E7EE0">
            <w:pPr>
              <w:jc w:val="center"/>
            </w:pPr>
            <w:r>
              <w:t>0,9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4F1A" w:rsidRPr="001C010F" w:rsidRDefault="00094F1A" w:rsidP="008E7EE0">
            <w:pPr>
              <w:jc w:val="center"/>
            </w:pPr>
            <w:r>
              <w:t>0,7</w:t>
            </w:r>
          </w:p>
        </w:tc>
      </w:tr>
      <w:tr w:rsidR="00094F1A" w:rsidRPr="001C010F" w:rsidTr="008E7EE0">
        <w:tc>
          <w:tcPr>
            <w:tcW w:w="7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4F1A" w:rsidRPr="001C010F" w:rsidRDefault="00094F1A" w:rsidP="008E7EE0">
            <w:pPr>
              <w:jc w:val="center"/>
            </w:pPr>
            <w:r>
              <w:t>4.</w:t>
            </w:r>
          </w:p>
        </w:tc>
        <w:tc>
          <w:tcPr>
            <w:tcW w:w="5104" w:type="dxa"/>
            <w:tcBorders>
              <w:bottom w:val="single" w:sz="12" w:space="0" w:color="auto"/>
            </w:tcBorders>
            <w:vAlign w:val="center"/>
          </w:tcPr>
          <w:p w:rsidR="00094F1A" w:rsidRPr="001C010F" w:rsidRDefault="00094F1A" w:rsidP="008E7EE0">
            <w:r w:rsidRPr="001C010F">
              <w:t>Выше 12</w:t>
            </w:r>
            <w:r>
              <w:t> </w:t>
            </w:r>
            <w:r w:rsidRPr="001C010F">
              <w:t>001</w:t>
            </w:r>
            <w:r>
              <w:t xml:space="preserve"> руб.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4F1A" w:rsidRPr="001C010F" w:rsidRDefault="00094F1A" w:rsidP="008E7EE0">
            <w:pPr>
              <w:jc w:val="center"/>
            </w:pPr>
            <w:r w:rsidRPr="001C010F">
              <w:t>0,</w:t>
            </w:r>
            <w:r>
              <w:t>8</w:t>
            </w: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4F1A" w:rsidRPr="001C010F" w:rsidRDefault="00094F1A" w:rsidP="008E7EE0">
            <w:pPr>
              <w:jc w:val="center"/>
            </w:pPr>
            <w:r w:rsidRPr="001C010F">
              <w:t>0,7</w:t>
            </w:r>
          </w:p>
        </w:tc>
      </w:tr>
    </w:tbl>
    <w:p w:rsidR="00094F1A" w:rsidRDefault="00094F1A" w:rsidP="00094F1A">
      <w:pPr>
        <w:jc w:val="both"/>
        <w:rPr>
          <w:sz w:val="28"/>
        </w:rPr>
      </w:pPr>
    </w:p>
    <w:p w:rsidR="00094F1A" w:rsidRPr="009B1A0C" w:rsidRDefault="00094F1A" w:rsidP="00094F1A">
      <w:pPr>
        <w:jc w:val="both"/>
        <w:rPr>
          <w:u w:val="single"/>
        </w:rPr>
      </w:pPr>
      <w:r w:rsidRPr="009B1A0C">
        <w:rPr>
          <w:u w:val="single"/>
        </w:rPr>
        <w:t>Справочно:</w:t>
      </w:r>
    </w:p>
    <w:p w:rsidR="00094F1A" w:rsidRPr="009B1A0C" w:rsidRDefault="00094F1A" w:rsidP="00094F1A">
      <w:pPr>
        <w:ind w:firstLine="851"/>
        <w:jc w:val="both"/>
      </w:pPr>
      <w:r w:rsidRPr="009B1A0C">
        <w:t xml:space="preserve">- </w:t>
      </w:r>
      <w:r w:rsidRPr="009B1A0C">
        <w:rPr>
          <w:u w:val="single"/>
        </w:rPr>
        <w:t>Населённые пункты с населением от 15 до 30 тысяч чел</w:t>
      </w:r>
      <w:r w:rsidRPr="009B1A0C">
        <w:rPr>
          <w:u w:val="single"/>
        </w:rPr>
        <w:t>о</w:t>
      </w:r>
      <w:r w:rsidRPr="009B1A0C">
        <w:rPr>
          <w:u w:val="single"/>
        </w:rPr>
        <w:t>век</w:t>
      </w:r>
      <w:r w:rsidRPr="009B1A0C">
        <w:t xml:space="preserve"> – </w:t>
      </w:r>
      <w:proofErr w:type="spellStart"/>
      <w:r w:rsidRPr="009B1A0C">
        <w:t>ст-ца</w:t>
      </w:r>
      <w:proofErr w:type="spellEnd"/>
      <w:r w:rsidRPr="009B1A0C">
        <w:t xml:space="preserve"> </w:t>
      </w:r>
      <w:proofErr w:type="gramStart"/>
      <w:r w:rsidRPr="009B1A0C">
        <w:t>Тбилисская</w:t>
      </w:r>
      <w:proofErr w:type="gramEnd"/>
      <w:r w:rsidRPr="009B1A0C">
        <w:t>;</w:t>
      </w:r>
    </w:p>
    <w:p w:rsidR="00094F1A" w:rsidRPr="009B1A0C" w:rsidRDefault="00094F1A" w:rsidP="00094F1A">
      <w:pPr>
        <w:ind w:firstLine="851"/>
        <w:jc w:val="both"/>
        <w:rPr>
          <w:bCs/>
        </w:rPr>
      </w:pPr>
      <w:proofErr w:type="gramStart"/>
      <w:r w:rsidRPr="009B1A0C">
        <w:t xml:space="preserve">- </w:t>
      </w:r>
      <w:r w:rsidRPr="009B1A0C">
        <w:rPr>
          <w:u w:val="single"/>
        </w:rPr>
        <w:t>Населённые пункты с населением до 5 тысяч человек</w:t>
      </w:r>
      <w:r w:rsidRPr="009B1A0C">
        <w:t xml:space="preserve"> – </w:t>
      </w:r>
      <w:proofErr w:type="spellStart"/>
      <w:r w:rsidRPr="009B1A0C">
        <w:rPr>
          <w:bCs/>
        </w:rPr>
        <w:t>ст-ца</w:t>
      </w:r>
      <w:proofErr w:type="spellEnd"/>
      <w:r w:rsidRPr="009B1A0C">
        <w:rPr>
          <w:bCs/>
        </w:rPr>
        <w:t xml:space="preserve"> Алексее–</w:t>
      </w:r>
      <w:proofErr w:type="spellStart"/>
      <w:r w:rsidRPr="009B1A0C">
        <w:rPr>
          <w:bCs/>
        </w:rPr>
        <w:t>Тенгинская</w:t>
      </w:r>
      <w:proofErr w:type="spellEnd"/>
      <w:r w:rsidRPr="009B1A0C">
        <w:rPr>
          <w:bCs/>
        </w:rPr>
        <w:t xml:space="preserve">, с. </w:t>
      </w:r>
      <w:proofErr w:type="spellStart"/>
      <w:r w:rsidRPr="009B1A0C">
        <w:rPr>
          <w:bCs/>
        </w:rPr>
        <w:t>Ванно</w:t>
      </w:r>
      <w:r w:rsidRPr="009B1A0C">
        <w:rPr>
          <w:bCs/>
        </w:rPr>
        <w:t>в</w:t>
      </w:r>
      <w:r w:rsidRPr="009B1A0C">
        <w:rPr>
          <w:bCs/>
        </w:rPr>
        <w:t>ское</w:t>
      </w:r>
      <w:proofErr w:type="spellEnd"/>
      <w:r w:rsidRPr="009B1A0C">
        <w:rPr>
          <w:bCs/>
        </w:rPr>
        <w:t xml:space="preserve">, х. </w:t>
      </w:r>
      <w:proofErr w:type="spellStart"/>
      <w:r w:rsidRPr="009B1A0C">
        <w:rPr>
          <w:bCs/>
        </w:rPr>
        <w:t>Северокубанский</w:t>
      </w:r>
      <w:proofErr w:type="spellEnd"/>
      <w:r w:rsidRPr="009B1A0C">
        <w:rPr>
          <w:bCs/>
        </w:rPr>
        <w:t xml:space="preserve">, х. Шевченко, с. </w:t>
      </w:r>
      <w:proofErr w:type="spellStart"/>
      <w:r w:rsidRPr="009B1A0C">
        <w:rPr>
          <w:bCs/>
        </w:rPr>
        <w:t>Шереметьевкое</w:t>
      </w:r>
      <w:proofErr w:type="spellEnd"/>
      <w:r w:rsidRPr="009B1A0C">
        <w:rPr>
          <w:bCs/>
        </w:rPr>
        <w:t xml:space="preserve">, </w:t>
      </w:r>
      <w:proofErr w:type="spellStart"/>
      <w:r w:rsidRPr="009B1A0C">
        <w:rPr>
          <w:bCs/>
        </w:rPr>
        <w:t>ст-ца</w:t>
      </w:r>
      <w:proofErr w:type="spellEnd"/>
      <w:r w:rsidRPr="009B1A0C">
        <w:rPr>
          <w:bCs/>
        </w:rPr>
        <w:t xml:space="preserve"> </w:t>
      </w:r>
      <w:proofErr w:type="spellStart"/>
      <w:r w:rsidRPr="009B1A0C">
        <w:rPr>
          <w:bCs/>
        </w:rPr>
        <w:t>Геймановская</w:t>
      </w:r>
      <w:proofErr w:type="spellEnd"/>
      <w:r w:rsidRPr="009B1A0C">
        <w:rPr>
          <w:bCs/>
        </w:rPr>
        <w:t xml:space="preserve">, х. Дальний, </w:t>
      </w:r>
      <w:proofErr w:type="spellStart"/>
      <w:r w:rsidRPr="009B1A0C">
        <w:rPr>
          <w:bCs/>
        </w:rPr>
        <w:t>ст-ца</w:t>
      </w:r>
      <w:proofErr w:type="spellEnd"/>
      <w:r w:rsidRPr="009B1A0C">
        <w:rPr>
          <w:bCs/>
        </w:rPr>
        <w:t xml:space="preserve"> </w:t>
      </w:r>
      <w:proofErr w:type="spellStart"/>
      <w:r w:rsidRPr="009B1A0C">
        <w:rPr>
          <w:bCs/>
        </w:rPr>
        <w:t>Ловлинская</w:t>
      </w:r>
      <w:proofErr w:type="spellEnd"/>
      <w:r w:rsidRPr="009B1A0C">
        <w:rPr>
          <w:bCs/>
        </w:rPr>
        <w:t xml:space="preserve">, х. </w:t>
      </w:r>
      <w:proofErr w:type="spellStart"/>
      <w:r w:rsidRPr="009B1A0C">
        <w:rPr>
          <w:bCs/>
        </w:rPr>
        <w:t>Марьинский</w:t>
      </w:r>
      <w:proofErr w:type="spellEnd"/>
      <w:r w:rsidRPr="009B1A0C">
        <w:rPr>
          <w:bCs/>
        </w:rPr>
        <w:t xml:space="preserve">, </w:t>
      </w:r>
      <w:proofErr w:type="spellStart"/>
      <w:r w:rsidRPr="009B1A0C">
        <w:rPr>
          <w:bCs/>
        </w:rPr>
        <w:t>ст-ца</w:t>
      </w:r>
      <w:proofErr w:type="spellEnd"/>
      <w:r w:rsidRPr="009B1A0C">
        <w:rPr>
          <w:bCs/>
        </w:rPr>
        <w:t xml:space="preserve"> </w:t>
      </w:r>
      <w:proofErr w:type="spellStart"/>
      <w:r w:rsidRPr="009B1A0C">
        <w:rPr>
          <w:bCs/>
        </w:rPr>
        <w:t>Нововладимировская</w:t>
      </w:r>
      <w:proofErr w:type="spellEnd"/>
      <w:r w:rsidRPr="009B1A0C">
        <w:rPr>
          <w:bCs/>
        </w:rPr>
        <w:t xml:space="preserve">, </w:t>
      </w:r>
      <w:proofErr w:type="spellStart"/>
      <w:r w:rsidRPr="009B1A0C">
        <w:rPr>
          <w:bCs/>
        </w:rPr>
        <w:t>ст-ца</w:t>
      </w:r>
      <w:proofErr w:type="spellEnd"/>
      <w:r w:rsidRPr="009B1A0C">
        <w:rPr>
          <w:bCs/>
        </w:rPr>
        <w:t xml:space="preserve"> </w:t>
      </w:r>
      <w:proofErr w:type="spellStart"/>
      <w:r w:rsidRPr="009B1A0C">
        <w:rPr>
          <w:bCs/>
        </w:rPr>
        <w:t>Новобекешевская</w:t>
      </w:r>
      <w:proofErr w:type="spellEnd"/>
      <w:r w:rsidRPr="009B1A0C">
        <w:rPr>
          <w:bCs/>
        </w:rPr>
        <w:t xml:space="preserve">, х. Песчаный, х. </w:t>
      </w:r>
      <w:proofErr w:type="spellStart"/>
      <w:r w:rsidRPr="009B1A0C">
        <w:rPr>
          <w:bCs/>
        </w:rPr>
        <w:t>В</w:t>
      </w:r>
      <w:r w:rsidRPr="009B1A0C">
        <w:rPr>
          <w:bCs/>
        </w:rPr>
        <w:t>е</w:t>
      </w:r>
      <w:r w:rsidRPr="009B1A0C">
        <w:rPr>
          <w:bCs/>
        </w:rPr>
        <w:t>рёвкин</w:t>
      </w:r>
      <w:proofErr w:type="spellEnd"/>
      <w:r w:rsidRPr="009B1A0C">
        <w:rPr>
          <w:bCs/>
        </w:rPr>
        <w:t xml:space="preserve">, п. Октябрьский, х. </w:t>
      </w:r>
      <w:proofErr w:type="spellStart"/>
      <w:r w:rsidRPr="009B1A0C">
        <w:rPr>
          <w:bCs/>
        </w:rPr>
        <w:t>Северин</w:t>
      </w:r>
      <w:proofErr w:type="spellEnd"/>
      <w:r w:rsidRPr="009B1A0C">
        <w:rPr>
          <w:bCs/>
        </w:rPr>
        <w:t>;</w:t>
      </w:r>
      <w:proofErr w:type="gramEnd"/>
    </w:p>
    <w:p w:rsidR="00094F1A" w:rsidRPr="009B1A0C" w:rsidRDefault="00094F1A" w:rsidP="00094F1A">
      <w:pPr>
        <w:ind w:firstLine="851"/>
        <w:jc w:val="both"/>
      </w:pPr>
      <w:proofErr w:type="gramStart"/>
      <w:r w:rsidRPr="009B1A0C">
        <w:t xml:space="preserve">- </w:t>
      </w:r>
      <w:r w:rsidRPr="009B1A0C">
        <w:rPr>
          <w:u w:val="single"/>
        </w:rPr>
        <w:t>Населённые пункты с населением до 500 человек</w:t>
      </w:r>
      <w:r w:rsidRPr="009B1A0C">
        <w:t xml:space="preserve"> – </w:t>
      </w:r>
      <w:r w:rsidRPr="009B1A0C">
        <w:rPr>
          <w:bCs/>
        </w:rPr>
        <w:t xml:space="preserve">х. Верхний, х. Причтовый, х. Средний, х. Весёлый, х. Красный Зеленчук, х. </w:t>
      </w:r>
      <w:proofErr w:type="spellStart"/>
      <w:r w:rsidRPr="009B1A0C">
        <w:rPr>
          <w:bCs/>
        </w:rPr>
        <w:t>Новопеховский</w:t>
      </w:r>
      <w:proofErr w:type="spellEnd"/>
      <w:r w:rsidRPr="009B1A0C">
        <w:rPr>
          <w:bCs/>
        </w:rPr>
        <w:t xml:space="preserve"> Первый, х. Дубовиков, х. С</w:t>
      </w:r>
      <w:r w:rsidRPr="009B1A0C">
        <w:rPr>
          <w:bCs/>
        </w:rPr>
        <w:t>о</w:t>
      </w:r>
      <w:r w:rsidRPr="009B1A0C">
        <w:rPr>
          <w:bCs/>
        </w:rPr>
        <w:t xml:space="preserve">ветский, х. </w:t>
      </w:r>
      <w:proofErr w:type="spellStart"/>
      <w:r w:rsidRPr="009B1A0C">
        <w:rPr>
          <w:bCs/>
        </w:rPr>
        <w:t>Долинов</w:t>
      </w:r>
      <w:proofErr w:type="spellEnd"/>
      <w:r w:rsidRPr="009B1A0C">
        <w:rPr>
          <w:bCs/>
        </w:rPr>
        <w:t xml:space="preserve">, х. Зубов, х. </w:t>
      </w:r>
      <w:proofErr w:type="spellStart"/>
      <w:r w:rsidRPr="009B1A0C">
        <w:rPr>
          <w:bCs/>
        </w:rPr>
        <w:t>Зайчанский</w:t>
      </w:r>
      <w:proofErr w:type="spellEnd"/>
      <w:r w:rsidRPr="009B1A0C">
        <w:rPr>
          <w:bCs/>
        </w:rPr>
        <w:t xml:space="preserve">, х. </w:t>
      </w:r>
      <w:proofErr w:type="spellStart"/>
      <w:r w:rsidRPr="009B1A0C">
        <w:rPr>
          <w:bCs/>
        </w:rPr>
        <w:t>Зиссермановский</w:t>
      </w:r>
      <w:proofErr w:type="spellEnd"/>
      <w:r w:rsidRPr="009B1A0C">
        <w:rPr>
          <w:bCs/>
        </w:rPr>
        <w:t xml:space="preserve">, х. Екатеринославский, х. </w:t>
      </w:r>
      <w:proofErr w:type="spellStart"/>
      <w:r w:rsidRPr="009B1A0C">
        <w:rPr>
          <w:bCs/>
        </w:rPr>
        <w:t>Терско</w:t>
      </w:r>
      <w:proofErr w:type="spellEnd"/>
      <w:r w:rsidRPr="009B1A0C">
        <w:rPr>
          <w:bCs/>
        </w:rPr>
        <w:t>–</w:t>
      </w:r>
      <w:proofErr w:type="spellStart"/>
      <w:r w:rsidRPr="009B1A0C">
        <w:rPr>
          <w:bCs/>
        </w:rPr>
        <w:t>Каламбетский</w:t>
      </w:r>
      <w:proofErr w:type="spellEnd"/>
      <w:r w:rsidRPr="009B1A0C">
        <w:rPr>
          <w:bCs/>
        </w:rPr>
        <w:t xml:space="preserve">, х. Ерёмин, х. </w:t>
      </w:r>
      <w:proofErr w:type="spellStart"/>
      <w:r w:rsidRPr="009B1A0C">
        <w:rPr>
          <w:bCs/>
        </w:rPr>
        <w:t>Нововладимировский</w:t>
      </w:r>
      <w:proofErr w:type="spellEnd"/>
      <w:r w:rsidRPr="009B1A0C">
        <w:rPr>
          <w:bCs/>
        </w:rPr>
        <w:t xml:space="preserve">, х. </w:t>
      </w:r>
      <w:proofErr w:type="spellStart"/>
      <w:r w:rsidRPr="009B1A0C">
        <w:rPr>
          <w:bCs/>
        </w:rPr>
        <w:t>Ромашовка</w:t>
      </w:r>
      <w:proofErr w:type="spellEnd"/>
      <w:r w:rsidRPr="009B1A0C">
        <w:rPr>
          <w:bCs/>
        </w:rPr>
        <w:t xml:space="preserve">, х. Соколовка, х. </w:t>
      </w:r>
      <w:proofErr w:type="spellStart"/>
      <w:r w:rsidRPr="009B1A0C">
        <w:rPr>
          <w:bCs/>
        </w:rPr>
        <w:t>Чернобабов</w:t>
      </w:r>
      <w:proofErr w:type="spellEnd"/>
      <w:r w:rsidRPr="009B1A0C">
        <w:rPr>
          <w:bCs/>
        </w:rPr>
        <w:t>, х. Ивановка, х. Старо–Армянский, п. Восточный, п. Горский, п. Мирный, п. Пе</w:t>
      </w:r>
      <w:r w:rsidRPr="009B1A0C">
        <w:rPr>
          <w:bCs/>
        </w:rPr>
        <w:t>р</w:t>
      </w:r>
      <w:r w:rsidRPr="009B1A0C">
        <w:rPr>
          <w:bCs/>
        </w:rPr>
        <w:t>вомайский, п</w:t>
      </w:r>
      <w:proofErr w:type="gramEnd"/>
      <w:r w:rsidRPr="009B1A0C">
        <w:rPr>
          <w:bCs/>
        </w:rPr>
        <w:t>. Терновый.</w:t>
      </w:r>
    </w:p>
    <w:p w:rsidR="00094F1A" w:rsidRDefault="00094F1A" w:rsidP="00094F1A">
      <w:pPr>
        <w:ind w:firstLine="540"/>
        <w:jc w:val="both"/>
        <w:rPr>
          <w:sz w:val="28"/>
        </w:rPr>
      </w:pPr>
    </w:p>
    <w:p w:rsidR="00094F1A" w:rsidRPr="00CA2E42" w:rsidRDefault="00094F1A" w:rsidP="00094F1A">
      <w:pPr>
        <w:jc w:val="both"/>
        <w:rPr>
          <w:b/>
        </w:rPr>
      </w:pPr>
      <w:r w:rsidRPr="00CA2E42">
        <w:rPr>
          <w:b/>
        </w:rPr>
        <w:t>Решение Совета муниципального образ</w:t>
      </w:r>
      <w:r w:rsidRPr="00CA2E42">
        <w:rPr>
          <w:b/>
        </w:rPr>
        <w:t>о</w:t>
      </w:r>
      <w:r w:rsidRPr="00CA2E42">
        <w:rPr>
          <w:b/>
        </w:rPr>
        <w:t>вания Тбилисский район от 27.11.2012 № 518</w:t>
      </w:r>
      <w:r w:rsidRPr="00CA2E42">
        <w:t xml:space="preserve"> «</w:t>
      </w:r>
      <w:r w:rsidRPr="00CA2E42">
        <w:rPr>
          <w:b/>
        </w:rPr>
        <w:t>О внесении изменений в решение Совета муниципального образования Тбили</w:t>
      </w:r>
      <w:r w:rsidRPr="00CA2E42">
        <w:rPr>
          <w:b/>
        </w:rPr>
        <w:t>с</w:t>
      </w:r>
      <w:r w:rsidRPr="00CA2E42">
        <w:rPr>
          <w:b/>
        </w:rPr>
        <w:t>ский район от 15 ноября 2010 года № 139 «О едином налоге на вмененный доход для отдел</w:t>
      </w:r>
      <w:r w:rsidRPr="00CA2E42">
        <w:rPr>
          <w:b/>
        </w:rPr>
        <w:t>ь</w:t>
      </w:r>
      <w:r w:rsidRPr="00CA2E42">
        <w:rPr>
          <w:b/>
        </w:rPr>
        <w:t>ных видов деятельности в муниципальном образовании Тбилисский район»</w:t>
      </w:r>
    </w:p>
    <w:p w:rsidR="00094F1A" w:rsidRPr="00CA2E42" w:rsidRDefault="00094F1A" w:rsidP="00094F1A">
      <w:pPr>
        <w:jc w:val="both"/>
      </w:pPr>
    </w:p>
    <w:p w:rsidR="00094F1A" w:rsidRPr="00CA2E42" w:rsidRDefault="00094F1A" w:rsidP="00094F1A">
      <w:pPr>
        <w:pStyle w:val="a8"/>
      </w:pPr>
      <w:r w:rsidRPr="00CA2E42">
        <w:tab/>
        <w:t>В соответствии с подпунктом 3 пункта 3 статьи 346.26 Налогового кодекса Российской Федерации, пунктом 2 части 1 статьи 15 Федерального закона от 06 октября 2003 года № 131 – ФЗ «Об общих принципах организации местного самоуправления в Российской Федер</w:t>
      </w:r>
      <w:r w:rsidRPr="00CA2E42">
        <w:t>а</w:t>
      </w:r>
      <w:r w:rsidRPr="00CA2E42">
        <w:t xml:space="preserve">ции», руководствуясь ст. 24 устава муниципального образования Тбилисский район, Совет муниципального образования Тбилисский район  </w:t>
      </w:r>
      <w:proofErr w:type="gramStart"/>
      <w:r w:rsidRPr="00CA2E42">
        <w:t>р</w:t>
      </w:r>
      <w:proofErr w:type="gramEnd"/>
      <w:r w:rsidRPr="00CA2E42">
        <w:t xml:space="preserve"> е ш и л:</w:t>
      </w:r>
    </w:p>
    <w:p w:rsidR="00094F1A" w:rsidRPr="00CA2E42" w:rsidRDefault="00094F1A" w:rsidP="00094F1A">
      <w:pPr>
        <w:jc w:val="both"/>
      </w:pPr>
      <w:r w:rsidRPr="00CA2E42">
        <w:t xml:space="preserve">          1. Внести следующие изменения в решение Совета муниципального образования Тбилисский район от 15 ноября 2010 года № 139 «О едином налоге на вмененный доход для о</w:t>
      </w:r>
      <w:r w:rsidRPr="00CA2E42">
        <w:t>т</w:t>
      </w:r>
      <w:r w:rsidRPr="00CA2E42">
        <w:t>дельных видов деятельности в муниципальном образовании Тбилисский район»:</w:t>
      </w:r>
    </w:p>
    <w:p w:rsidR="00094F1A" w:rsidRPr="00CA2E42" w:rsidRDefault="00094F1A" w:rsidP="00094F1A">
      <w:pPr>
        <w:jc w:val="both"/>
      </w:pPr>
      <w:r w:rsidRPr="00CA2E42">
        <w:t xml:space="preserve">          1.1. Абзац 4 пункта 2 изложить в следующей редакции:</w:t>
      </w:r>
    </w:p>
    <w:p w:rsidR="00094F1A" w:rsidRPr="00CA2E42" w:rsidRDefault="00094F1A" w:rsidP="00094F1A">
      <w:pPr>
        <w:jc w:val="both"/>
      </w:pPr>
      <w:r w:rsidRPr="00CA2E42">
        <w:t xml:space="preserve">         «К</w:t>
      </w:r>
      <w:proofErr w:type="gramStart"/>
      <w:r w:rsidRPr="00CA2E42">
        <w:t>2</w:t>
      </w:r>
      <w:proofErr w:type="gramEnd"/>
      <w:r w:rsidRPr="00CA2E42">
        <w:t>.2 – коэффициент, учитывающий величину фактически выплаченной среднемеся</w:t>
      </w:r>
      <w:r w:rsidRPr="00CA2E42">
        <w:t>ч</w:t>
      </w:r>
      <w:r w:rsidRPr="00CA2E42">
        <w:t>ной заработной платы приходящейся на одно физическое лицо, выплачиваемой налогопл</w:t>
      </w:r>
      <w:r w:rsidRPr="00CA2E42">
        <w:t>а</w:t>
      </w:r>
      <w:r w:rsidRPr="00CA2E42">
        <w:t xml:space="preserve">тельщиком ЕНВД наёмным работникам за налоговый период, согласно Приложению 2». </w:t>
      </w:r>
    </w:p>
    <w:p w:rsidR="00094F1A" w:rsidRPr="00CA2E42" w:rsidRDefault="00094F1A" w:rsidP="00094F1A">
      <w:pPr>
        <w:ind w:firstLine="708"/>
        <w:jc w:val="both"/>
      </w:pPr>
      <w:r w:rsidRPr="00CA2E42">
        <w:t>1.2. В графе «Величина среднемесячной заработной платы, выплачиваемой налогопл</w:t>
      </w:r>
      <w:r w:rsidRPr="00CA2E42">
        <w:t>а</w:t>
      </w:r>
      <w:r w:rsidRPr="00CA2E42">
        <w:t>тельщиком единого налога на вменённый доход наёмным работникам за налоговый период»  Приложения 2.</w:t>
      </w:r>
    </w:p>
    <w:p w:rsidR="00094F1A" w:rsidRPr="00CA2E42" w:rsidRDefault="00094F1A" w:rsidP="00094F1A">
      <w:pPr>
        <w:ind w:firstLine="708"/>
        <w:jc w:val="both"/>
      </w:pPr>
      <w:r w:rsidRPr="00CA2E42">
        <w:t>1.2.1. В пункте 1 цифры «8000» заменить цифрами «9000».</w:t>
      </w:r>
    </w:p>
    <w:p w:rsidR="00094F1A" w:rsidRPr="00CA2E42" w:rsidRDefault="00094F1A" w:rsidP="00094F1A">
      <w:pPr>
        <w:ind w:firstLine="708"/>
        <w:jc w:val="both"/>
      </w:pPr>
      <w:r w:rsidRPr="00CA2E42">
        <w:lastRenderedPageBreak/>
        <w:t>1.2.2. В пункте 2  цифры «8001» заменить цифрами «9001», цифры «10000» заменить цифрами «11000».</w:t>
      </w:r>
    </w:p>
    <w:p w:rsidR="00094F1A" w:rsidRPr="00CA2E42" w:rsidRDefault="00094F1A" w:rsidP="00094F1A">
      <w:pPr>
        <w:ind w:firstLine="708"/>
        <w:jc w:val="both"/>
      </w:pPr>
      <w:r w:rsidRPr="00CA2E42">
        <w:t>1.2.3. В пункте 3 цифры «10001» заменить цифрами «11001», цифры «12000» заменить цифрами «13000».</w:t>
      </w:r>
    </w:p>
    <w:p w:rsidR="00094F1A" w:rsidRPr="00CA2E42" w:rsidRDefault="00094F1A" w:rsidP="00094F1A">
      <w:pPr>
        <w:ind w:firstLine="708"/>
        <w:jc w:val="both"/>
      </w:pPr>
      <w:r w:rsidRPr="00CA2E42">
        <w:t>1.2.4. В пункте 4 цифры «12001» заменить цифрами «13001».</w:t>
      </w:r>
    </w:p>
    <w:p w:rsidR="00094F1A" w:rsidRPr="00CA2E42" w:rsidRDefault="00094F1A" w:rsidP="00094F1A">
      <w:pPr>
        <w:jc w:val="both"/>
      </w:pPr>
      <w:r w:rsidRPr="00CA2E42">
        <w:t xml:space="preserve">          2. Настоящее решение вступает в силу с 01 января 2013года, но не ранее одного месяца со дня его официального опубликования.</w:t>
      </w:r>
    </w:p>
    <w:p w:rsidR="00094F1A" w:rsidRPr="00CA2E42" w:rsidRDefault="00094F1A" w:rsidP="00094F1A">
      <w:pPr>
        <w:jc w:val="both"/>
      </w:pPr>
    </w:p>
    <w:p w:rsidR="00094F1A" w:rsidRPr="00CA2E42" w:rsidRDefault="00094F1A" w:rsidP="00094F1A">
      <w:pPr>
        <w:jc w:val="both"/>
      </w:pPr>
      <w:r w:rsidRPr="00CA2E42">
        <w:t xml:space="preserve">Глава </w:t>
      </w:r>
      <w:proofErr w:type="gramStart"/>
      <w:r w:rsidRPr="00CA2E42">
        <w:t>муниципального</w:t>
      </w:r>
      <w:proofErr w:type="gramEnd"/>
      <w:r w:rsidRPr="00CA2E42">
        <w:t xml:space="preserve"> </w:t>
      </w:r>
    </w:p>
    <w:p w:rsidR="00094F1A" w:rsidRPr="00CA2E42" w:rsidRDefault="00094F1A" w:rsidP="00094F1A">
      <w:pPr>
        <w:jc w:val="both"/>
      </w:pPr>
      <w:r w:rsidRPr="00CA2E42">
        <w:t xml:space="preserve">образования Тбилисский район                                                            </w:t>
      </w:r>
      <w:proofErr w:type="spellStart"/>
      <w:r w:rsidRPr="00CA2E42">
        <w:t>В.И.Кадькало</w:t>
      </w:r>
      <w:proofErr w:type="spellEnd"/>
    </w:p>
    <w:p w:rsidR="00094F1A" w:rsidRPr="00CA2E42" w:rsidRDefault="00094F1A" w:rsidP="00094F1A">
      <w:pPr>
        <w:jc w:val="both"/>
      </w:pPr>
    </w:p>
    <w:p w:rsidR="00094F1A" w:rsidRPr="00CA2E42" w:rsidRDefault="00094F1A" w:rsidP="00094F1A">
      <w:pPr>
        <w:jc w:val="both"/>
      </w:pPr>
      <w:r w:rsidRPr="00CA2E42">
        <w:t xml:space="preserve">Председатель Совета муниципального </w:t>
      </w:r>
    </w:p>
    <w:p w:rsidR="00094F1A" w:rsidRPr="00CA2E42" w:rsidRDefault="00094F1A" w:rsidP="00094F1A">
      <w:pPr>
        <w:jc w:val="both"/>
      </w:pPr>
      <w:r w:rsidRPr="00CA2E42">
        <w:t xml:space="preserve">образования тбилисский район                                                                 </w:t>
      </w:r>
      <w:proofErr w:type="spellStart"/>
      <w:r w:rsidRPr="00CA2E42">
        <w:t>Р.Ю.Метов</w:t>
      </w:r>
      <w:proofErr w:type="spellEnd"/>
    </w:p>
    <w:p w:rsidR="00094F1A" w:rsidRPr="00CA2E42" w:rsidRDefault="00094F1A" w:rsidP="00094F1A">
      <w:pPr>
        <w:jc w:val="both"/>
      </w:pPr>
      <w:r w:rsidRPr="00CA2E42">
        <w:t xml:space="preserve">                                   </w:t>
      </w:r>
    </w:p>
    <w:p w:rsidR="00094F1A" w:rsidRDefault="00094F1A" w:rsidP="00094F1A">
      <w:pPr>
        <w:ind w:firstLine="540"/>
        <w:jc w:val="both"/>
        <w:rPr>
          <w:sz w:val="28"/>
        </w:rPr>
      </w:pPr>
    </w:p>
    <w:p w:rsidR="008A21B1" w:rsidRDefault="008A21B1"/>
    <w:sectPr w:rsidR="008A21B1" w:rsidSect="00A6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794" w:right="794" w:bottom="79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BB9" w:rsidRDefault="00094F1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BB9" w:rsidRDefault="00094F1A" w:rsidP="007F75BA">
    <w:pPr>
      <w:pStyle w:val="a6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BB9" w:rsidRDefault="00094F1A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BB9" w:rsidRDefault="00094F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4BB9" w:rsidRDefault="00094F1A">
    <w:pPr>
      <w:pStyle w:val="a3"/>
    </w:pPr>
  </w:p>
  <w:p w:rsidR="00C64BB9" w:rsidRDefault="00094F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BB9" w:rsidRDefault="00094F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64BB9" w:rsidRDefault="00094F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BB9" w:rsidRDefault="00094F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A9"/>
    <w:rsid w:val="00094F1A"/>
    <w:rsid w:val="005764A9"/>
    <w:rsid w:val="008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4F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94F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94F1A"/>
  </w:style>
  <w:style w:type="paragraph" w:styleId="a6">
    <w:name w:val="footer"/>
    <w:basedOn w:val="a"/>
    <w:link w:val="a7"/>
    <w:rsid w:val="00094F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94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094F1A"/>
    <w:pPr>
      <w:spacing w:after="120"/>
    </w:pPr>
  </w:style>
  <w:style w:type="character" w:customStyle="1" w:styleId="a9">
    <w:name w:val="Основной текст Знак"/>
    <w:basedOn w:val="a0"/>
    <w:link w:val="a8"/>
    <w:rsid w:val="00094F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4F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94F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94F1A"/>
  </w:style>
  <w:style w:type="paragraph" w:styleId="a6">
    <w:name w:val="footer"/>
    <w:basedOn w:val="a"/>
    <w:link w:val="a7"/>
    <w:rsid w:val="00094F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94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094F1A"/>
    <w:pPr>
      <w:spacing w:after="120"/>
    </w:pPr>
  </w:style>
  <w:style w:type="character" w:customStyle="1" w:styleId="a9">
    <w:name w:val="Основной текст Знак"/>
    <w:basedOn w:val="a0"/>
    <w:link w:val="a8"/>
    <w:rsid w:val="00094F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2015-01-22T12:46:00Z</dcterms:created>
  <dcterms:modified xsi:type="dcterms:W3CDTF">2015-01-22T12:46:00Z</dcterms:modified>
</cp:coreProperties>
</file>