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105.14. Контролируемые сделки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"/>
      <w:bookmarkEnd w:id="0"/>
      <w:r>
        <w:rPr>
          <w:rFonts w:ascii="Calibri" w:hAnsi="Calibri" w:cs="Calibri"/>
        </w:rPr>
        <w:t>1. В целях настоящего Кодекса контролируемыми сделками признаются сделки между взаимозависимыми лицами (с учетом особенностей, предусмотренных настоящей статьей). К сделкам между взаимозависимыми лицами в целях настоящего Кодекса приравниваются следующие сделки: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 подпункта 1 пункта 1 статьи 105.14 в части признания контролируемыми сделками сделок с налогоплательщиками единого сельскохозяйственного налога или единого налога на вмененный доход применяются с 1 января 2014 года (</w:t>
      </w:r>
      <w:hyperlink r:id="rId5" w:history="1">
        <w:r>
          <w:rPr>
            <w:rFonts w:ascii="Calibri" w:hAnsi="Calibri" w:cs="Calibri"/>
            <w:color w:val="0000FF"/>
          </w:rPr>
          <w:t>пункт 2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совокупность сделок по реализации (перепродаже) товаров (выполнению работ, оказанию услуг), совершаемых с участием (при посредничестве) лиц, не являющихся взаимозависимыми (с учетом особенностей, предусмотренных настоящим подпунктом).</w:t>
      </w:r>
      <w:proofErr w:type="gramEnd"/>
      <w:r>
        <w:rPr>
          <w:rFonts w:ascii="Calibri" w:hAnsi="Calibri" w:cs="Calibri"/>
        </w:rPr>
        <w:t xml:space="preserve"> Указанная в настоящем подпункте совокупность сделок приравнивается к сделке между взаимозависимыми лицами, не принимая во внимание наличие третьих лиц, с участием (при посредничестве) которых совершается такая совокупность сделок, при условии, что такие третьи лица, не признаваемые взаимозависимыми и принимающие участие в указанной совокупности сделок: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выполняют в этой совокупности сделок никаких дополнительных функций, за исключением организации реализации (перепродажи) товаров (выполнения работ, оказания услуг) одним лицом другому лицу, признаваемому взаимозависимым с этим лицом;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принимают на себя никаких рисков и не используют никаких активов для организации реализации (перепродажи) товаров (выполнения работ, оказания услуг) одним лицом другому лицу, признаваемому взаимозависимым с этим лицом;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"/>
      <w:bookmarkEnd w:id="1"/>
      <w:r>
        <w:rPr>
          <w:rFonts w:ascii="Calibri" w:hAnsi="Calibri" w:cs="Calibri"/>
        </w:rPr>
        <w:t xml:space="preserve">2) сделки в области </w:t>
      </w:r>
      <w:hyperlink w:anchor="Par61" w:history="1">
        <w:r>
          <w:rPr>
            <w:rFonts w:ascii="Calibri" w:hAnsi="Calibri" w:cs="Calibri"/>
            <w:color w:val="0000FF"/>
          </w:rPr>
          <w:t>внешней торговли товарами</w:t>
        </w:r>
      </w:hyperlink>
      <w:r>
        <w:rPr>
          <w:rFonts w:ascii="Calibri" w:hAnsi="Calibri" w:cs="Calibri"/>
        </w:rPr>
        <w:t xml:space="preserve"> мировой биржевой торговли;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"/>
      <w:bookmarkEnd w:id="2"/>
      <w:r>
        <w:rPr>
          <w:rFonts w:ascii="Calibri" w:hAnsi="Calibri" w:cs="Calibri"/>
        </w:rPr>
        <w:t xml:space="preserve">3) сделки, одной из сторон которых является лицо, местом регистрации, либо местом жительства, либо местом налогового резидентства которого являются государство или территория, включенные в </w:t>
      </w:r>
      <w:hyperlink r:id="rId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государств и территорий, утверждаемый Министерством финансов Российской Федерации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подпунктом 1 пункта 3 статьи 284</w:t>
        </w:r>
      </w:hyperlink>
      <w:r>
        <w:rPr>
          <w:rFonts w:ascii="Calibri" w:hAnsi="Calibri" w:cs="Calibri"/>
        </w:rPr>
        <w:t xml:space="preserve"> настоящего Кодекса. </w:t>
      </w:r>
      <w:proofErr w:type="gramStart"/>
      <w:r>
        <w:rPr>
          <w:rFonts w:ascii="Calibri" w:hAnsi="Calibri" w:cs="Calibri"/>
        </w:rPr>
        <w:t>В целях настоящего подпункта, если деятельность российской организации образует постоянное представительство в государстве или на территории, включенных в перечень, указанный в настоящем подпункте, и анализируемая сделка связана с этой деятельностью, то в части этой анализируемой сделки такая организация рассматривается как лицо, местом регистрации которого является государство или территория, включенные в указанный перечень.</w:t>
      </w:r>
      <w:proofErr w:type="gramEnd"/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1"/>
      <w:bookmarkEnd w:id="3"/>
      <w:r>
        <w:rPr>
          <w:rFonts w:ascii="Calibri" w:hAnsi="Calibri" w:cs="Calibri"/>
        </w:rPr>
        <w:t xml:space="preserve">2. Сделка между взаимозависимыми лицами, местом регистрации, либо местом жительства, либо местом налогового резидентства всех сторон и выгодоприобретателей по которой является Российская Федерация, признается контролируемой (если иное не предусмотрено </w:t>
      </w:r>
      <w:hyperlink w:anchor="Par31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, </w:t>
      </w:r>
      <w:hyperlink w:anchor="Par34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w:anchor="Par59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настоящей статьи) при наличии хотя бы одного из следующих обстоятельств: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применении положения подпункта 1 пункта 2 статьи 105.14 в 2012 и 2013 годах сумма доходов по сделкам между лицами, указанными в </w:t>
      </w:r>
      <w:hyperlink w:anchor="Par11" w:history="1">
        <w:r>
          <w:rPr>
            <w:rFonts w:ascii="Calibri" w:hAnsi="Calibri" w:cs="Calibri"/>
            <w:color w:val="0000FF"/>
          </w:rPr>
          <w:t>абзаце первом пункта 2 статьи 105.14</w:t>
        </w:r>
      </w:hyperlink>
      <w:r>
        <w:rPr>
          <w:rFonts w:ascii="Calibri" w:hAnsi="Calibri" w:cs="Calibri"/>
        </w:rPr>
        <w:t xml:space="preserve"> составляет: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2012 год - 3 млрд. рублей;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2013 год - 2 млрд. рублей (</w:t>
      </w:r>
      <w:hyperlink r:id="rId8" w:history="1">
        <w:r>
          <w:rPr>
            <w:rFonts w:ascii="Calibri" w:hAnsi="Calibri" w:cs="Calibri"/>
            <w:color w:val="0000FF"/>
          </w:rPr>
          <w:t>пункт 3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сумма доходов по сделкам (сумма цен сделок) между указанными лицами за соответствующий календарный год превышает 1 миллиард рублей;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8"/>
      <w:bookmarkEnd w:id="4"/>
      <w:proofErr w:type="gramStart"/>
      <w:r>
        <w:rPr>
          <w:rFonts w:ascii="Calibri" w:hAnsi="Calibri" w:cs="Calibri"/>
        </w:rPr>
        <w:t>2) одна из сторон сделки является налогоплательщиком налога на добычу полезных ископаемых, исчисляемого по налоговой ставке, установленной в процентах, и предметом сделки является добытое полезное ископаемое, признаваемое для указанной стороны сделки объектом налогообложения налогом на добычу полезных ископаемых, при добыче которого налогообложение производится по налоговой ставке, установленной в процентах;</w:t>
      </w:r>
      <w:proofErr w:type="gramEnd"/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9"/>
      <w:bookmarkEnd w:id="5"/>
      <w:proofErr w:type="gramStart"/>
      <w:r>
        <w:rPr>
          <w:rFonts w:ascii="Calibri" w:hAnsi="Calibri" w:cs="Calibri"/>
        </w:rPr>
        <w:t xml:space="preserve">3) хотя бы одна из сторон сделки является налогоплательщиком, применяющим один из следующих специальных налоговых режимов: систему налогообложения для сельскохозяйственных товаропроизводителей (единый сельскохозяйственный налог) или систему </w:t>
      </w:r>
      <w:r>
        <w:rPr>
          <w:rFonts w:ascii="Calibri" w:hAnsi="Calibri" w:cs="Calibri"/>
        </w:rPr>
        <w:lastRenderedPageBreak/>
        <w:t>налогообложения в виде единого налога на вмененный доход для отдельных видов деятельности (если соответствующая сделка заключена в рамках такой деятельности), при этом в числе других лиц, являющихся сторонами указанной сделки, есть лицо, не применяющее</w:t>
      </w:r>
      <w:proofErr w:type="gramEnd"/>
      <w:r>
        <w:rPr>
          <w:rFonts w:ascii="Calibri" w:hAnsi="Calibri" w:cs="Calibri"/>
        </w:rPr>
        <w:t xml:space="preserve"> указанные специальные налоговые режимы;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20"/>
      <w:bookmarkEnd w:id="6"/>
      <w:r>
        <w:rPr>
          <w:rFonts w:ascii="Calibri" w:hAnsi="Calibri" w:cs="Calibri"/>
        </w:rPr>
        <w:t xml:space="preserve">4) 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ставку 0 процентов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5.1 статьи 284</w:t>
        </w:r>
      </w:hyperlink>
      <w:r>
        <w:rPr>
          <w:rFonts w:ascii="Calibri" w:hAnsi="Calibri" w:cs="Calibri"/>
        </w:rPr>
        <w:t xml:space="preserve"> настоящего Кодекса, при этом другая сторона (</w:t>
      </w:r>
      <w:proofErr w:type="gramStart"/>
      <w:r>
        <w:rPr>
          <w:rFonts w:ascii="Calibri" w:hAnsi="Calibri" w:cs="Calibri"/>
        </w:rPr>
        <w:t xml:space="preserve">стороны) </w:t>
      </w:r>
      <w:proofErr w:type="gramEnd"/>
      <w:r>
        <w:rPr>
          <w:rFonts w:ascii="Calibri" w:hAnsi="Calibri" w:cs="Calibri"/>
        </w:rPr>
        <w:t>сделки не освобождена (не освобождены) от этих обязанностей и не применяет (не применяют) налоговую ставку 0 процентов по указанным обстоятельствам;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Положение подпункта 5 пункта 2 статьи 105.14 применяется с 1 января 2014 года (</w:t>
      </w:r>
      <w:hyperlink r:id="rId10" w:history="1">
        <w:r>
          <w:rPr>
            <w:rFonts w:ascii="Calibri" w:hAnsi="Calibri" w:cs="Calibri"/>
            <w:color w:val="0000FF"/>
          </w:rPr>
          <w:t>пункт 4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хотя бы одна из сторон сделки является резидентом особой экономической зоны, налоговый режим в которой предусматривает специальные льготы по налогу на прибыль организаций (по сравнению с общим налоговым режимом в соответствующем субъекте Российской Федерации), при этом другая сторона (</w:t>
      </w:r>
      <w:proofErr w:type="gramStart"/>
      <w:r>
        <w:rPr>
          <w:rFonts w:ascii="Calibri" w:hAnsi="Calibri" w:cs="Calibri"/>
        </w:rPr>
        <w:t xml:space="preserve">стороны) </w:t>
      </w:r>
      <w:proofErr w:type="gramEnd"/>
      <w:r>
        <w:rPr>
          <w:rFonts w:ascii="Calibri" w:hAnsi="Calibri" w:cs="Calibri"/>
        </w:rPr>
        <w:t>сделки не является (не являются) резидентом такой особой экономической зоны;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сделка удовлетворяет одновременно следующим условиям: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 из сторон сделки является налогоплательщиком, указанным в </w:t>
      </w:r>
      <w:hyperlink r:id="rId11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и учитывает доходы (расходы) по такой сделке при определении налоговой базы по налогу на прибыль организаций 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статьей 275.2</w:t>
        </w:r>
      </w:hyperlink>
      <w:r>
        <w:rPr>
          <w:rFonts w:ascii="Calibri" w:hAnsi="Calibri" w:cs="Calibri"/>
        </w:rPr>
        <w:t xml:space="preserve"> настоящего Кодекса;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любая другая сторона сделки не является налогоплательщиком, указанным в </w:t>
      </w:r>
      <w:hyperlink r:id="rId13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либо является налогоплательщиком, указанным в </w:t>
      </w:r>
      <w:hyperlink r:id="rId14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но не учитывает доходы (расходы) по такой сделке при определении налоговой базы по налогу на прибыль организаций 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статьей 275.2</w:t>
        </w:r>
      </w:hyperlink>
      <w:r>
        <w:rPr>
          <w:rFonts w:ascii="Calibri" w:hAnsi="Calibri" w:cs="Calibri"/>
        </w:rPr>
        <w:t xml:space="preserve"> настоящего Кодекса;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30.09.2013 N 268-ФЗ)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29"/>
      <w:bookmarkEnd w:id="7"/>
      <w:proofErr w:type="gramStart"/>
      <w:r>
        <w:rPr>
          <w:rFonts w:ascii="Calibri" w:hAnsi="Calibri" w:cs="Calibri"/>
        </w:rPr>
        <w:t xml:space="preserve">7) хотя бы одна из сторон сделки является участником регионального инвестиционного проекта, применяющим налоговую ставку по налогу на прибыль организаций, подлежащему зачислению в федеральный бюджет, в размере 0 процентов и (или) пониженную налоговую ставку по налогу на прибыль организаций, подлежащему зачислению в бюджет субъекта Российской Федерации, в порядке и на условиях, предусмотренных </w:t>
      </w:r>
      <w:hyperlink r:id="rId17" w:history="1">
        <w:r>
          <w:rPr>
            <w:rFonts w:ascii="Calibri" w:hAnsi="Calibri" w:cs="Calibri"/>
            <w:color w:val="0000FF"/>
          </w:rPr>
          <w:t>статьей 284.3</w:t>
        </w:r>
      </w:hyperlink>
      <w:r>
        <w:rPr>
          <w:rFonts w:ascii="Calibri" w:hAnsi="Calibri" w:cs="Calibri"/>
        </w:rPr>
        <w:t xml:space="preserve"> настоящего Кодекса.</w:t>
      </w:r>
      <w:proofErr w:type="gramEnd"/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30.09.2013 N 267-ФЗ)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1"/>
      <w:bookmarkEnd w:id="8"/>
      <w:r>
        <w:rPr>
          <w:rFonts w:ascii="Calibri" w:hAnsi="Calibri" w:cs="Calibri"/>
        </w:rPr>
        <w:t xml:space="preserve">3. Сделки, предусмотренные </w:t>
      </w:r>
      <w:hyperlink w:anchor="Par18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, </w:t>
      </w:r>
      <w:hyperlink w:anchor="Par2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- </w:t>
      </w:r>
      <w:hyperlink w:anchor="Par29" w:history="1">
        <w:r>
          <w:rPr>
            <w:rFonts w:ascii="Calibri" w:hAnsi="Calibri" w:cs="Calibri"/>
            <w:color w:val="0000FF"/>
          </w:rPr>
          <w:t>7 пункта 2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сумма доходов по сделкам между указанными лицами за соответствующий календарный год превышает 60 миллионов рублей.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30.09.2013 N 268-ФЗ)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Сделки, предусмотренные </w:t>
      </w:r>
      <w:hyperlink w:anchor="Par19" w:history="1">
        <w:r>
          <w:rPr>
            <w:rFonts w:ascii="Calibri" w:hAnsi="Calibri" w:cs="Calibri"/>
            <w:color w:val="0000FF"/>
          </w:rPr>
          <w:t>подпунктом 3 пункта 2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сумма доходов по сделкам между указанными лицами за соответствующий календарный год превышает 100 миллионов рублей.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34"/>
      <w:bookmarkEnd w:id="9"/>
      <w:r>
        <w:rPr>
          <w:rFonts w:ascii="Calibri" w:hAnsi="Calibri" w:cs="Calibri"/>
        </w:rPr>
        <w:t xml:space="preserve">4. Вне зависимости от того, удовлетворяют ли сделки условиям, предусмотренным </w:t>
      </w:r>
      <w:hyperlink w:anchor="Par2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w:anchor="Par3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не признаются контролируемыми следующие сделки: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16.11.2011 N 321-ФЗ)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gramStart"/>
      <w:r>
        <w:rPr>
          <w:rFonts w:ascii="Calibri" w:hAnsi="Calibri" w:cs="Calibri"/>
        </w:rPr>
        <w:t>сторонами</w:t>
      </w:r>
      <w:proofErr w:type="gramEnd"/>
      <w:r>
        <w:rPr>
          <w:rFonts w:ascii="Calibri" w:hAnsi="Calibri" w:cs="Calibri"/>
        </w:rPr>
        <w:t xml:space="preserve"> которых являются участники одной и той же консолидированной группы налогоплательщиков, образованной в соответствии с настоящим </w:t>
      </w:r>
      <w:hyperlink r:id="rId2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(за исключением сделок, предметом которых является добытое полезное ископаемое, признаваемое объектом налогообложения налогом на добычу полезных ископаемых, при добыче которого налогообложение производится по налоговой ставке, установленной в процентах);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 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16.11.2011 N 321-ФЗ)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сторонами</w:t>
      </w:r>
      <w:proofErr w:type="gramEnd"/>
      <w:r>
        <w:rPr>
          <w:rFonts w:ascii="Calibri" w:hAnsi="Calibri" w:cs="Calibri"/>
        </w:rPr>
        <w:t xml:space="preserve"> которых являются лица, удовлетворяющие одновременно следующим требованиям: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зарегистрированы в одном субъекте Российской Федерации;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указанные лица не имеют обособленных подразделений на территориях других субъектов </w:t>
      </w:r>
      <w:r>
        <w:rPr>
          <w:rFonts w:ascii="Calibri" w:hAnsi="Calibri" w:cs="Calibri"/>
        </w:rPr>
        <w:lastRenderedPageBreak/>
        <w:t>Российской Федерации, а также за пределами Российской Федерации;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не уплачивают налог на прибыль организаций в бюджеты других субъектов Российской Федерации;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не имеют убытков (включая убытки прошлых периодов, переносимые на будущие налоговые периоды), принимаемых при исчислении налога на прибыль организаций;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отсутствуют обстоятельства для признания совершаемых такими лицами </w:t>
      </w:r>
      <w:proofErr w:type="gramStart"/>
      <w:r>
        <w:rPr>
          <w:rFonts w:ascii="Calibri" w:hAnsi="Calibri" w:cs="Calibri"/>
        </w:rPr>
        <w:t>сделок</w:t>
      </w:r>
      <w:proofErr w:type="gramEnd"/>
      <w:r>
        <w:rPr>
          <w:rFonts w:ascii="Calibri" w:hAnsi="Calibri" w:cs="Calibri"/>
        </w:rPr>
        <w:t xml:space="preserve"> контролируемыми в соответствии с </w:t>
      </w:r>
      <w:hyperlink w:anchor="Par18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ar29" w:history="1">
        <w:r>
          <w:rPr>
            <w:rFonts w:ascii="Calibri" w:hAnsi="Calibri" w:cs="Calibri"/>
            <w:color w:val="0000FF"/>
          </w:rPr>
          <w:t>7 пункта 2</w:t>
        </w:r>
      </w:hyperlink>
      <w:r>
        <w:rPr>
          <w:rFonts w:ascii="Calibri" w:hAnsi="Calibri" w:cs="Calibri"/>
        </w:rPr>
        <w:t xml:space="preserve"> настоящей статьи;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30.09.2013 N 267-ФЗ)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сделки между налогоплательщиками, указанными в </w:t>
      </w:r>
      <w:hyperlink r:id="rId24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совершаемые ими при осуществлении деятельности, связанной с добычей углеводородного сырья на новом морском месторождении углеводородного сырья, в отношении одного и того же месторождения;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30.09.2013 N 268-ФЗ)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межбанковские кредиты (депозиты) со сроком до семи календарных дней (включительно).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28.12.2013 N 420-ФЗ)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02.04.2014 N 52-ФЗ пункт 4 статьи 105.14 дополнен подпунктом 5, действие которого </w:t>
      </w:r>
      <w:hyperlink r:id="rId28" w:history="1">
        <w:r>
          <w:rPr>
            <w:rFonts w:ascii="Calibri" w:hAnsi="Calibri" w:cs="Calibri"/>
            <w:color w:val="0000FF"/>
          </w:rPr>
          <w:t>распространяется</w:t>
        </w:r>
      </w:hyperlink>
      <w:r>
        <w:rPr>
          <w:rFonts w:ascii="Calibri" w:hAnsi="Calibri" w:cs="Calibri"/>
        </w:rPr>
        <w:t xml:space="preserve"> на сделки, доходы и (или) расходы по которым признаются для целей налогообложения в соответствии с </w:t>
      </w:r>
      <w:hyperlink r:id="rId29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 с 1 января 2012 года.</w:t>
      </w: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53"/>
      <w:bookmarkEnd w:id="10"/>
      <w:r>
        <w:rPr>
          <w:rFonts w:ascii="Calibri" w:hAnsi="Calibri" w:cs="Calibri"/>
        </w:rPr>
        <w:t xml:space="preserve">5. Сделки, предусмотренные </w:t>
      </w:r>
      <w:hyperlink w:anchor="Par9" w:history="1">
        <w:r>
          <w:rPr>
            <w:rFonts w:ascii="Calibri" w:hAnsi="Calibri" w:cs="Calibri"/>
            <w:color w:val="0000FF"/>
          </w:rPr>
          <w:t>подпунктом 2 пункта 1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предметом таких сделок являются товары, входящие в состав одной или нескольких из следующих товарных групп: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нефть и товары, выработанные из нефти;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черные металлы;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цветные металлы;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минеральные удобрения;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драгоценные металлы и драгоценные камни.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59"/>
      <w:bookmarkEnd w:id="11"/>
      <w:r>
        <w:rPr>
          <w:rFonts w:ascii="Calibri" w:hAnsi="Calibri" w:cs="Calibri"/>
        </w:rPr>
        <w:t xml:space="preserve">6. </w:t>
      </w:r>
      <w:hyperlink r:id="rId30" w:history="1">
        <w:r>
          <w:rPr>
            <w:rFonts w:ascii="Calibri" w:hAnsi="Calibri" w:cs="Calibri"/>
            <w:color w:val="0000FF"/>
          </w:rPr>
          <w:t>Коды</w:t>
        </w:r>
      </w:hyperlink>
      <w:r>
        <w:rPr>
          <w:rFonts w:ascii="Calibri" w:hAnsi="Calibri" w:cs="Calibri"/>
        </w:rPr>
        <w:t xml:space="preserve"> товаров, перечисленных в </w:t>
      </w:r>
      <w:hyperlink w:anchor="Par53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настоящей статьи, в соответствии с Товарной номенклатурой внешнеэкономической деятельности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Сделки, предусмотренные </w:t>
      </w:r>
      <w:hyperlink w:anchor="Par9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и </w:t>
      </w:r>
      <w:hyperlink w:anchor="Par10" w:history="1">
        <w:r>
          <w:rPr>
            <w:rFonts w:ascii="Calibri" w:hAnsi="Calibri" w:cs="Calibri"/>
            <w:color w:val="0000FF"/>
          </w:rPr>
          <w:t>3 пункта 1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сумма доходов по таким сделкам, совершенным с одним лицом за соответствующий календарный год, превышает 60 миллионов рублей.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61"/>
      <w:bookmarkEnd w:id="12"/>
      <w:r>
        <w:rPr>
          <w:rFonts w:ascii="Calibri" w:hAnsi="Calibri" w:cs="Calibri"/>
        </w:rPr>
        <w:t xml:space="preserve">8. В целях настоящего Кодекса понятие "внешняя торговля товарами" используется в значении, определяемом </w:t>
      </w:r>
      <w:hyperlink r:id="rId3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внешнеторговой деятельности.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(взаимозависимыми лицами) за календарный год с учетом порядка признания доходов, установленных </w:t>
      </w:r>
      <w:hyperlink r:id="rId32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настоящего Кодекса. При определении суммы доходов по сделкам федеральный орган исполнительной власти, уполномоченный по контролю и надзору в области налогов и сборов, для целей настоящей статьи вправе проверить соответствие сумм полученных доходов по сделкам рыночному уровню с учетом положений </w:t>
      </w:r>
      <w:hyperlink r:id="rId33" w:history="1">
        <w:r>
          <w:rPr>
            <w:rFonts w:ascii="Calibri" w:hAnsi="Calibri" w:cs="Calibri"/>
            <w:color w:val="0000FF"/>
          </w:rPr>
          <w:t>главы 14.2</w:t>
        </w:r>
      </w:hyperlink>
      <w:r>
        <w:rPr>
          <w:rFonts w:ascii="Calibri" w:hAnsi="Calibri" w:cs="Calibri"/>
        </w:rPr>
        <w:t xml:space="preserve"> и </w:t>
      </w:r>
      <w:hyperlink r:id="rId34" w:history="1">
        <w:r>
          <w:rPr>
            <w:rFonts w:ascii="Calibri" w:hAnsi="Calibri" w:cs="Calibri"/>
            <w:color w:val="0000FF"/>
          </w:rPr>
          <w:t>главы 14.3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По заявлению федерального органа исполнительной власти, уполномоченного по контролю и надзору в области налогов и сборов, суд может признать сделку контролируемой при наличии достаточных оснований полагать, что указанная сделка является частью группы однородных сделок, совершенных в целях создания условий, при которых такая сделка не отвечала бы признакам контролируемой сделки, установленным настоящей статьей.</w:t>
      </w:r>
      <w:proofErr w:type="gramEnd"/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Признание сделок </w:t>
      </w:r>
      <w:proofErr w:type="gramStart"/>
      <w:r>
        <w:rPr>
          <w:rFonts w:ascii="Calibri" w:hAnsi="Calibri" w:cs="Calibri"/>
        </w:rPr>
        <w:t>контролируемыми</w:t>
      </w:r>
      <w:proofErr w:type="gramEnd"/>
      <w:r>
        <w:rPr>
          <w:rFonts w:ascii="Calibri" w:hAnsi="Calibri" w:cs="Calibri"/>
        </w:rPr>
        <w:t xml:space="preserve"> производится с учетом положений </w:t>
      </w:r>
      <w:hyperlink r:id="rId35" w:history="1">
        <w:r>
          <w:rPr>
            <w:rFonts w:ascii="Calibri" w:hAnsi="Calibri" w:cs="Calibri"/>
            <w:color w:val="0000FF"/>
          </w:rPr>
          <w:t>пункта 13 статьи 105.3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5B4" w:rsidRDefault="008735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 статьи 105.15 до 1 января 2014 года применяются в случаях, когда сумма доходов по всем контролируемым сделкам, совершенным налогоплательщиком в календарном году с одним лицом (несколькими одними и теми же лицами, являющимися сторонами контролируемых сделок), превышает соответственно: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году - 100 млн. рублей;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 году - 80 млн. рублей (</w:t>
      </w:r>
      <w:hyperlink r:id="rId36" w:history="1">
        <w:r>
          <w:rPr>
            <w:rFonts w:ascii="Calibri" w:hAnsi="Calibri" w:cs="Calibri"/>
            <w:color w:val="0000FF"/>
          </w:rPr>
          <w:t>пункт 7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8735B4" w:rsidRDefault="008735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37" w:history="1">
        <w:r>
          <w:rPr>
            <w:rFonts w:ascii="Calibri" w:hAnsi="Calibri" w:cs="Calibri"/>
            <w:i/>
            <w:iCs/>
            <w:color w:val="0000FF"/>
          </w:rPr>
          <w:br/>
          <w:t>ст. 105.14, "Налоговый кодекс Российской Федерации (часть первая)" от 31.07.1998 N 146-ФЗ (ред. от 28.12.2013)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A21B1" w:rsidRDefault="008A21B1">
      <w:bookmarkStart w:id="13" w:name="_GoBack"/>
      <w:bookmarkEnd w:id="13"/>
    </w:p>
    <w:sectPr w:rsidR="008A21B1" w:rsidSect="003E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B4"/>
    <w:rsid w:val="008735B4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3614CA8F805535CDAF9DD00A7A8B6030DD9F68E6961554866C356F263FBDD85B6A8B24559C5A0FE3FF" TargetMode="External"/><Relationship Id="rId13" Type="http://schemas.openxmlformats.org/officeDocument/2006/relationships/hyperlink" Target="consultantplus://offline/ref=E103614CA8F805535CDAF9DD00A7A8B6030FDCF88D6061554866C356F263FBDD85B6A8BB4250FC33F" TargetMode="External"/><Relationship Id="rId18" Type="http://schemas.openxmlformats.org/officeDocument/2006/relationships/hyperlink" Target="consultantplus://offline/ref=E103614CA8F805535CDAF9DD00A7A8B6030CDFF58D6B61554866C356F263FBDD85B6A8B24559C1A8FE3FF" TargetMode="External"/><Relationship Id="rId26" Type="http://schemas.openxmlformats.org/officeDocument/2006/relationships/hyperlink" Target="consultantplus://offline/ref=E103614CA8F805535CDAF9DD00A7A8B6030CDBF4886161554866C356F263FBDD85B6A8B24559C0A8FE39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03614CA8F805535CDAF9DD00A7A8B6030DD5F6836E61554866C356F263FBDD85B6A8B1455AFC30F" TargetMode="External"/><Relationship Id="rId34" Type="http://schemas.openxmlformats.org/officeDocument/2006/relationships/hyperlink" Target="consultantplus://offline/ref=E103614CA8F805535CDAF9DD00A7A8B6030DD5F6836E61554866C356F263FBDD85B6A8B2435CFC36F" TargetMode="External"/><Relationship Id="rId7" Type="http://schemas.openxmlformats.org/officeDocument/2006/relationships/hyperlink" Target="consultantplus://offline/ref=E103614CA8F805535CDAF9DD00A7A8B6030FDCF88D6061554866C356F263FBDD85B6A8B64351FC34F" TargetMode="External"/><Relationship Id="rId12" Type="http://schemas.openxmlformats.org/officeDocument/2006/relationships/hyperlink" Target="consultantplus://offline/ref=E103614CA8F805535CDAF9DD00A7A8B6030FDCF88D6061554866C356F263FBDD85B6A8BB4250FC32F" TargetMode="External"/><Relationship Id="rId17" Type="http://schemas.openxmlformats.org/officeDocument/2006/relationships/hyperlink" Target="consultantplus://offline/ref=E103614CA8F805535CDAF9DD00A7A8B6030FDCF88D6061554866C356F263FBDD85B6A8BB4D58FC36F" TargetMode="External"/><Relationship Id="rId25" Type="http://schemas.openxmlformats.org/officeDocument/2006/relationships/hyperlink" Target="consultantplus://offline/ref=E103614CA8F805535CDAF9DD00A7A8B6030CD9F1836061554866C356F263FBDD85B6A8B24559C0ACFE39F" TargetMode="External"/><Relationship Id="rId33" Type="http://schemas.openxmlformats.org/officeDocument/2006/relationships/hyperlink" Target="consultantplus://offline/ref=E103614CA8F805535CDAF9DD00A7A8B6030DD5F6836E61554866C356F263FBDD85B6A8B2405AFC39F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03614CA8F805535CDAF9DD00A7A8B6030CD9F1836061554866C356F263FBDD85B6A8B24559C0ADFE34F" TargetMode="External"/><Relationship Id="rId20" Type="http://schemas.openxmlformats.org/officeDocument/2006/relationships/hyperlink" Target="consultantplus://offline/ref=E103614CA8F805535CDAF9DD00A7A8B6030BDCF68D6C61554866C356F263FBDD85B6A8B24559C3AAFE3DF" TargetMode="External"/><Relationship Id="rId29" Type="http://schemas.openxmlformats.org/officeDocument/2006/relationships/hyperlink" Target="consultantplus://offline/ref=E103614CA8F805535CDAF9DD00A7A8B6030FDCF88D6061554866C356F263FBDD85B6A8B24558C8AAFE3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03614CA8F805535CDAF9DD00A7A8B6030ADAF38B6861554866C356F263FBDD85B6A8B24559C0A8FE3DF" TargetMode="External"/><Relationship Id="rId11" Type="http://schemas.openxmlformats.org/officeDocument/2006/relationships/hyperlink" Target="consultantplus://offline/ref=E103614CA8F805535CDAF9DD00A7A8B6030FDCF88D6061554866C356F263FBDD85B6A8BB4250FC33F" TargetMode="External"/><Relationship Id="rId24" Type="http://schemas.openxmlformats.org/officeDocument/2006/relationships/hyperlink" Target="consultantplus://offline/ref=E103614CA8F805535CDAF9DD00A7A8B6030FDCF88D6061554866C356F263FBDD85B6A8BB4250FC33F" TargetMode="External"/><Relationship Id="rId32" Type="http://schemas.openxmlformats.org/officeDocument/2006/relationships/hyperlink" Target="consultantplus://offline/ref=E103614CA8F805535CDAF9DD00A7A8B6030FDCF88D6061554866C356F263FBDD85B6A8B24558C8AAFE39F" TargetMode="External"/><Relationship Id="rId37" Type="http://schemas.openxmlformats.org/officeDocument/2006/relationships/hyperlink" Target="consultantplus://offline/ref=E103614CA8F805535CDAF9DD00A7A8B6030DD5F6836E61554866C356F263FBDD85B6A8B24D58FC34F" TargetMode="External"/><Relationship Id="rId5" Type="http://schemas.openxmlformats.org/officeDocument/2006/relationships/hyperlink" Target="consultantplus://offline/ref=E103614CA8F805535CDAF9DD00A7A8B6030DD9F68E6961554866C356F263FBDD85B6A8B24559C5A0FE3CF" TargetMode="External"/><Relationship Id="rId15" Type="http://schemas.openxmlformats.org/officeDocument/2006/relationships/hyperlink" Target="consultantplus://offline/ref=E103614CA8F805535CDAF9DD00A7A8B6030FDCF88D6061554866C356F263FBDD85B6A8BB4250FC32F" TargetMode="External"/><Relationship Id="rId23" Type="http://schemas.openxmlformats.org/officeDocument/2006/relationships/hyperlink" Target="consultantplus://offline/ref=E103614CA8F805535CDAF9DD00A7A8B6030CDFF58D6B61554866C356F263FBDD85B6A8B24559C1A8FE39F" TargetMode="External"/><Relationship Id="rId28" Type="http://schemas.openxmlformats.org/officeDocument/2006/relationships/hyperlink" Target="consultantplus://offline/ref=E103614CA8F805535CDAF9DD00A7A8B6030FDCF38B6B61554866C356F263FBDD85B6A8B24559C1A8FE34F" TargetMode="External"/><Relationship Id="rId36" Type="http://schemas.openxmlformats.org/officeDocument/2006/relationships/hyperlink" Target="consultantplus://offline/ref=E103614CA8F805535CDAF9DD00A7A8B6030DD9F68E6961554866C356F263FBDD85B6A8B24559C5A0FE35F" TargetMode="External"/><Relationship Id="rId10" Type="http://schemas.openxmlformats.org/officeDocument/2006/relationships/hyperlink" Target="consultantplus://offline/ref=E103614CA8F805535CDAF9DD00A7A8B6030DD9F68E6961554866C356F263FBDD85B6A8B24559C5A0FE38F" TargetMode="External"/><Relationship Id="rId19" Type="http://schemas.openxmlformats.org/officeDocument/2006/relationships/hyperlink" Target="consultantplus://offline/ref=E103614CA8F805535CDAF9DD00A7A8B6030CD9F1836061554866C356F263FBDD85B6A8B24559C0ACFE3EF" TargetMode="External"/><Relationship Id="rId31" Type="http://schemas.openxmlformats.org/officeDocument/2006/relationships/hyperlink" Target="consultantplus://offline/ref=E103614CA8F805535CDAF9DD00A7A8B6030CD8F18D6A61554866C356F263FBDD85B6A8B24559C4A9FE3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03614CA8F805535CDAF9DD00A7A8B6030FDCF88D6061554866C356F263FBDD85B6A8B64C5BFC38F" TargetMode="External"/><Relationship Id="rId14" Type="http://schemas.openxmlformats.org/officeDocument/2006/relationships/hyperlink" Target="consultantplus://offline/ref=E103614CA8F805535CDAF9DD00A7A8B6030FDCF88D6061554866C356F263FBDD85B6A8BB4250FC33F" TargetMode="External"/><Relationship Id="rId22" Type="http://schemas.openxmlformats.org/officeDocument/2006/relationships/hyperlink" Target="consultantplus://offline/ref=E103614CA8F805535CDAF9DD00A7A8B6030BDCF68D6C61554866C356F263FBDD85B6A8B24559C3AAFE3FF" TargetMode="External"/><Relationship Id="rId27" Type="http://schemas.openxmlformats.org/officeDocument/2006/relationships/hyperlink" Target="consultantplus://offline/ref=E103614CA8F805535CDAF9DD00A7A8B6030FDCF38B6B61554866C356F263FBDD85B6A8B24559C0ADFE3EF" TargetMode="External"/><Relationship Id="rId30" Type="http://schemas.openxmlformats.org/officeDocument/2006/relationships/hyperlink" Target="consultantplus://offline/ref=E103614CA8F805535CDAF9DD00A7A8B6030AD4F08E6F61554866C356F263FBDD85B6A8B24559C0A9FE34F" TargetMode="External"/><Relationship Id="rId35" Type="http://schemas.openxmlformats.org/officeDocument/2006/relationships/hyperlink" Target="consultantplus://offline/ref=E103614CA8F805535CDAF9DD00A7A8B6030DD5F6836E61554866C356F263FBDD85B6A8B2405FFC3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1</cp:revision>
  <dcterms:created xsi:type="dcterms:W3CDTF">2014-05-06T05:55:00Z</dcterms:created>
  <dcterms:modified xsi:type="dcterms:W3CDTF">2014-05-06T05:55:00Z</dcterms:modified>
</cp:coreProperties>
</file>