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E2" w:rsidRPr="000D3FDF" w:rsidRDefault="00761BE2" w:rsidP="00761BE2">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761BE2" w:rsidRDefault="00761BE2" w:rsidP="00761BE2">
      <w:pPr>
        <w:jc w:val="both"/>
        <w:rPr>
          <w:sz w:val="22"/>
          <w:szCs w:val="22"/>
        </w:rPr>
      </w:pPr>
      <w:r w:rsidRPr="000D3FDF">
        <w:rPr>
          <w:sz w:val="22"/>
          <w:szCs w:val="22"/>
        </w:rPr>
        <w:t>- главный государственный налоговый инспектор отдела анализа и планирования налоговых проверок;</w:t>
      </w:r>
    </w:p>
    <w:p w:rsidR="00761BE2" w:rsidRPr="000D3FDF" w:rsidRDefault="00761BE2" w:rsidP="00761BE2">
      <w:pPr>
        <w:jc w:val="both"/>
        <w:rPr>
          <w:sz w:val="22"/>
          <w:szCs w:val="22"/>
        </w:rPr>
      </w:pPr>
      <w:r>
        <w:rPr>
          <w:sz w:val="22"/>
          <w:szCs w:val="22"/>
        </w:rPr>
        <w:t xml:space="preserve">- </w:t>
      </w:r>
      <w:r w:rsidRPr="000D3FDF">
        <w:rPr>
          <w:sz w:val="22"/>
          <w:szCs w:val="22"/>
        </w:rPr>
        <w:t>главный государственный налоговый инспектор</w:t>
      </w:r>
      <w:r>
        <w:rPr>
          <w:sz w:val="22"/>
          <w:szCs w:val="22"/>
        </w:rPr>
        <w:t xml:space="preserve"> контрольно-аналитического отдела;</w:t>
      </w:r>
    </w:p>
    <w:p w:rsidR="00761BE2" w:rsidRDefault="00761BE2" w:rsidP="00761BE2">
      <w:pPr>
        <w:jc w:val="both"/>
        <w:rPr>
          <w:sz w:val="22"/>
          <w:szCs w:val="22"/>
        </w:rPr>
      </w:pPr>
      <w:r w:rsidRPr="000D3FDF">
        <w:rPr>
          <w:sz w:val="22"/>
          <w:szCs w:val="22"/>
        </w:rPr>
        <w:t>- главный государственный налоговый инспектор отдела анализа и прогнозирования;</w:t>
      </w:r>
    </w:p>
    <w:p w:rsidR="00761BE2" w:rsidRPr="000D3FDF" w:rsidRDefault="00761BE2" w:rsidP="00761BE2">
      <w:pPr>
        <w:jc w:val="both"/>
        <w:rPr>
          <w:sz w:val="22"/>
          <w:szCs w:val="22"/>
        </w:rPr>
      </w:pPr>
      <w:r w:rsidRPr="000D3FDF">
        <w:rPr>
          <w:sz w:val="22"/>
          <w:szCs w:val="22"/>
        </w:rPr>
        <w:t>- главный государственный налоговый инспектор отдела обеспечения процедур банкротства;</w:t>
      </w:r>
    </w:p>
    <w:p w:rsidR="00761BE2" w:rsidRPr="000D3FDF" w:rsidRDefault="00761BE2" w:rsidP="00761BE2">
      <w:pPr>
        <w:jc w:val="both"/>
        <w:rPr>
          <w:sz w:val="22"/>
          <w:szCs w:val="22"/>
        </w:rPr>
      </w:pPr>
      <w:r w:rsidRPr="000D3FDF">
        <w:rPr>
          <w:sz w:val="22"/>
          <w:szCs w:val="22"/>
        </w:rPr>
        <w:t>- старший государственный налоговый инспектор отдела обеспечения процедур банкротства;</w:t>
      </w:r>
    </w:p>
    <w:p w:rsidR="00761BE2" w:rsidRDefault="00761BE2" w:rsidP="00761BE2">
      <w:pPr>
        <w:jc w:val="both"/>
        <w:rPr>
          <w:sz w:val="22"/>
          <w:szCs w:val="22"/>
        </w:rPr>
      </w:pPr>
      <w:r w:rsidRPr="000D3FDF">
        <w:rPr>
          <w:sz w:val="22"/>
          <w:szCs w:val="22"/>
        </w:rPr>
        <w:t>- государственный налоговый инспектор отдела о</w:t>
      </w:r>
      <w:r>
        <w:rPr>
          <w:sz w:val="22"/>
          <w:szCs w:val="22"/>
        </w:rPr>
        <w:t>беспечения процедур банкротства.</w:t>
      </w:r>
    </w:p>
    <w:p w:rsidR="00761BE2" w:rsidRPr="000D3FDF" w:rsidRDefault="00761BE2" w:rsidP="00761BE2">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761BE2" w:rsidRPr="000D3FDF" w:rsidRDefault="00761BE2" w:rsidP="00761BE2">
      <w:pPr>
        <w:pStyle w:val="a6"/>
        <w:numPr>
          <w:ilvl w:val="0"/>
          <w:numId w:val="1"/>
        </w:numPr>
        <w:tabs>
          <w:tab w:val="left" w:pos="357"/>
        </w:tabs>
        <w:jc w:val="both"/>
        <w:rPr>
          <w:sz w:val="22"/>
          <w:szCs w:val="22"/>
        </w:rPr>
      </w:pPr>
      <w:r w:rsidRPr="000D3FDF">
        <w:rPr>
          <w:sz w:val="22"/>
          <w:szCs w:val="22"/>
        </w:rPr>
        <w:t xml:space="preserve">Наличие высшего образования не ниже уровня бакалавриата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761BE2" w:rsidRPr="000D3FDF" w:rsidRDefault="00761BE2" w:rsidP="00761BE2">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761BE2" w:rsidRPr="000D3FDF" w:rsidRDefault="00761BE2" w:rsidP="00761BE2">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761BE2" w:rsidRPr="000D3FDF" w:rsidRDefault="00761BE2" w:rsidP="00761BE2">
      <w:pPr>
        <w:pStyle w:val="ConsNormal"/>
        <w:widowControl/>
        <w:ind w:right="0" w:firstLine="0"/>
        <w:jc w:val="both"/>
        <w:rPr>
          <w:rFonts w:ascii="Times New Roman" w:hAnsi="Times New Roman" w:cs="Times New Roman"/>
          <w:sz w:val="22"/>
          <w:szCs w:val="22"/>
        </w:rPr>
      </w:pPr>
    </w:p>
    <w:tbl>
      <w:tblPr>
        <w:tblStyle w:val="a8"/>
        <w:tblW w:w="8125" w:type="dxa"/>
        <w:tblLayout w:type="fixed"/>
        <w:tblLook w:val="04A0" w:firstRow="1" w:lastRow="0" w:firstColumn="1" w:lastColumn="0" w:noHBand="0" w:noVBand="1"/>
      </w:tblPr>
      <w:tblGrid>
        <w:gridCol w:w="2744"/>
        <w:gridCol w:w="1706"/>
        <w:gridCol w:w="1843"/>
        <w:gridCol w:w="1832"/>
      </w:tblGrid>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1706" w:type="dxa"/>
            <w:vAlign w:val="center"/>
          </w:tcPr>
          <w:p w:rsidR="00761BE2" w:rsidRPr="000D3FDF" w:rsidRDefault="00761BE2" w:rsidP="00FE1BA6">
            <w:pPr>
              <w:jc w:val="center"/>
              <w:rPr>
                <w:sz w:val="22"/>
                <w:szCs w:val="22"/>
              </w:rPr>
            </w:pPr>
            <w:r w:rsidRPr="000D3FDF">
              <w:rPr>
                <w:sz w:val="22"/>
                <w:szCs w:val="22"/>
              </w:rPr>
              <w:t xml:space="preserve">главный </w:t>
            </w: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c>
          <w:tcPr>
            <w:tcW w:w="1843" w:type="dxa"/>
            <w:vAlign w:val="center"/>
          </w:tcPr>
          <w:p w:rsidR="00761BE2" w:rsidRPr="000D3FDF" w:rsidRDefault="00761BE2" w:rsidP="00FE1BA6">
            <w:pPr>
              <w:jc w:val="center"/>
              <w:rPr>
                <w:sz w:val="22"/>
                <w:szCs w:val="22"/>
              </w:rPr>
            </w:pPr>
            <w:r w:rsidRPr="000D3FDF">
              <w:rPr>
                <w:sz w:val="22"/>
                <w:szCs w:val="22"/>
              </w:rPr>
              <w:t>старший государственный налоговый инспектор</w:t>
            </w:r>
          </w:p>
        </w:tc>
        <w:tc>
          <w:tcPr>
            <w:tcW w:w="1832" w:type="dxa"/>
            <w:vAlign w:val="center"/>
          </w:tcPr>
          <w:p w:rsidR="00761BE2" w:rsidRPr="000D3FDF" w:rsidRDefault="00761BE2" w:rsidP="00FE1BA6">
            <w:pPr>
              <w:jc w:val="center"/>
              <w:rPr>
                <w:sz w:val="22"/>
                <w:szCs w:val="22"/>
              </w:rPr>
            </w:pP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Должностного оклада</w:t>
            </w:r>
          </w:p>
        </w:tc>
        <w:tc>
          <w:tcPr>
            <w:tcW w:w="1706" w:type="dxa"/>
            <w:vAlign w:val="center"/>
          </w:tcPr>
          <w:p w:rsidR="00761BE2" w:rsidRPr="000D3FDF" w:rsidRDefault="00761BE2" w:rsidP="00FE1BA6">
            <w:pPr>
              <w:jc w:val="center"/>
              <w:rPr>
                <w:sz w:val="22"/>
                <w:szCs w:val="22"/>
              </w:rPr>
            </w:pPr>
            <w:r w:rsidRPr="000D3FDF">
              <w:rPr>
                <w:sz w:val="22"/>
                <w:szCs w:val="22"/>
              </w:rPr>
              <w:t>5637,00</w:t>
            </w:r>
          </w:p>
        </w:tc>
        <w:tc>
          <w:tcPr>
            <w:tcW w:w="1843" w:type="dxa"/>
            <w:vAlign w:val="center"/>
          </w:tcPr>
          <w:p w:rsidR="00761BE2" w:rsidRPr="000D3FDF" w:rsidRDefault="00761BE2" w:rsidP="00FE1BA6">
            <w:pPr>
              <w:jc w:val="center"/>
              <w:rPr>
                <w:sz w:val="22"/>
                <w:szCs w:val="22"/>
              </w:rPr>
            </w:pPr>
            <w:r w:rsidRPr="000D3FDF">
              <w:rPr>
                <w:sz w:val="22"/>
                <w:szCs w:val="22"/>
              </w:rPr>
              <w:t>5075,00</w:t>
            </w:r>
          </w:p>
        </w:tc>
        <w:tc>
          <w:tcPr>
            <w:tcW w:w="1832" w:type="dxa"/>
            <w:vAlign w:val="center"/>
          </w:tcPr>
          <w:p w:rsidR="00761BE2" w:rsidRPr="000D3FDF" w:rsidRDefault="00761BE2" w:rsidP="00FE1BA6">
            <w:pPr>
              <w:jc w:val="center"/>
              <w:rPr>
                <w:sz w:val="22"/>
                <w:szCs w:val="22"/>
              </w:rPr>
            </w:pPr>
            <w:r w:rsidRPr="000D3FDF">
              <w:rPr>
                <w:sz w:val="22"/>
                <w:szCs w:val="22"/>
              </w:rPr>
              <w:t>4511,00</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Оклада за классный чин</w:t>
            </w:r>
          </w:p>
        </w:tc>
        <w:tc>
          <w:tcPr>
            <w:tcW w:w="1706" w:type="dxa"/>
            <w:vAlign w:val="center"/>
          </w:tcPr>
          <w:p w:rsidR="00761BE2" w:rsidRPr="000D3FDF" w:rsidRDefault="00761BE2" w:rsidP="00FE1BA6">
            <w:pPr>
              <w:jc w:val="center"/>
              <w:rPr>
                <w:sz w:val="22"/>
                <w:szCs w:val="22"/>
              </w:rPr>
            </w:pPr>
            <w:r w:rsidRPr="000D3FDF">
              <w:rPr>
                <w:sz w:val="22"/>
                <w:szCs w:val="22"/>
              </w:rPr>
              <w:t>в соответствии с присвоенным классным чином:</w:t>
            </w:r>
          </w:p>
          <w:p w:rsidR="00761BE2" w:rsidRPr="000D3FDF" w:rsidRDefault="00761BE2" w:rsidP="00FE1BA6">
            <w:pPr>
              <w:jc w:val="center"/>
              <w:rPr>
                <w:sz w:val="22"/>
                <w:szCs w:val="22"/>
              </w:rPr>
            </w:pPr>
            <w:r w:rsidRPr="000D3FDF">
              <w:rPr>
                <w:sz w:val="22"/>
                <w:szCs w:val="22"/>
              </w:rPr>
              <w:t>1 788,00</w:t>
            </w:r>
          </w:p>
        </w:tc>
        <w:tc>
          <w:tcPr>
            <w:tcW w:w="1843" w:type="dxa"/>
            <w:vAlign w:val="center"/>
          </w:tcPr>
          <w:p w:rsidR="00761BE2" w:rsidRPr="000D3FDF" w:rsidRDefault="00761BE2" w:rsidP="00FE1BA6">
            <w:pPr>
              <w:jc w:val="center"/>
              <w:rPr>
                <w:sz w:val="22"/>
                <w:szCs w:val="22"/>
              </w:rPr>
            </w:pPr>
            <w:r w:rsidRPr="000D3FDF">
              <w:rPr>
                <w:sz w:val="22"/>
                <w:szCs w:val="22"/>
              </w:rPr>
              <w:t>в соответствии с присвоенным классным чином: 1 319,00</w:t>
            </w:r>
          </w:p>
          <w:p w:rsidR="00761BE2" w:rsidRPr="000D3FDF" w:rsidRDefault="00761BE2" w:rsidP="00FE1BA6">
            <w:pPr>
              <w:jc w:val="center"/>
              <w:rPr>
                <w:sz w:val="22"/>
                <w:szCs w:val="22"/>
              </w:rPr>
            </w:pPr>
            <w:r w:rsidRPr="000D3FDF">
              <w:rPr>
                <w:sz w:val="22"/>
                <w:szCs w:val="22"/>
              </w:rPr>
              <w:t>1 413,00</w:t>
            </w:r>
          </w:p>
          <w:p w:rsidR="00761BE2" w:rsidRPr="000D3FDF" w:rsidRDefault="00761BE2" w:rsidP="00FE1BA6">
            <w:pPr>
              <w:jc w:val="center"/>
              <w:rPr>
                <w:sz w:val="22"/>
                <w:szCs w:val="22"/>
              </w:rPr>
            </w:pPr>
            <w:r w:rsidRPr="000D3FDF">
              <w:rPr>
                <w:sz w:val="22"/>
                <w:szCs w:val="22"/>
              </w:rPr>
              <w:t>1 694,00</w:t>
            </w:r>
          </w:p>
        </w:tc>
        <w:tc>
          <w:tcPr>
            <w:tcW w:w="1832" w:type="dxa"/>
            <w:vAlign w:val="center"/>
          </w:tcPr>
          <w:p w:rsidR="00761BE2" w:rsidRPr="000D3FDF" w:rsidRDefault="00761BE2" w:rsidP="00FE1BA6">
            <w:pPr>
              <w:jc w:val="center"/>
              <w:rPr>
                <w:sz w:val="22"/>
                <w:szCs w:val="22"/>
              </w:rPr>
            </w:pPr>
            <w:r w:rsidRPr="000D3FDF">
              <w:rPr>
                <w:sz w:val="22"/>
                <w:szCs w:val="22"/>
              </w:rPr>
              <w:t>в соответствии с присвоенным классным чином:</w:t>
            </w:r>
          </w:p>
          <w:p w:rsidR="00761BE2" w:rsidRPr="000D3FDF" w:rsidRDefault="00761BE2" w:rsidP="00FE1BA6">
            <w:pPr>
              <w:jc w:val="center"/>
              <w:rPr>
                <w:sz w:val="22"/>
                <w:szCs w:val="22"/>
              </w:rPr>
            </w:pPr>
            <w:r w:rsidRPr="000D3FDF">
              <w:rPr>
                <w:sz w:val="22"/>
                <w:szCs w:val="22"/>
              </w:rPr>
              <w:t>1 319,00</w:t>
            </w:r>
          </w:p>
          <w:p w:rsidR="00761BE2" w:rsidRPr="000D3FDF" w:rsidRDefault="00761BE2" w:rsidP="00FE1BA6">
            <w:pPr>
              <w:jc w:val="center"/>
              <w:rPr>
                <w:sz w:val="22"/>
                <w:szCs w:val="22"/>
              </w:rPr>
            </w:pPr>
            <w:r w:rsidRPr="000D3FDF">
              <w:rPr>
                <w:sz w:val="22"/>
                <w:szCs w:val="22"/>
              </w:rPr>
              <w:t>1 413,00</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Ежемесячной надбавки к должностному окладу за особые условия</w:t>
            </w:r>
            <w:r w:rsidRPr="000D3FDF">
              <w:rPr>
                <w:sz w:val="22"/>
                <w:szCs w:val="22"/>
              </w:rPr>
              <w:cr/>
              <w:t>гражданской службы</w:t>
            </w:r>
          </w:p>
        </w:tc>
        <w:tc>
          <w:tcPr>
            <w:tcW w:w="1706" w:type="dxa"/>
            <w:vAlign w:val="center"/>
          </w:tcPr>
          <w:p w:rsidR="00761BE2" w:rsidRPr="000D3FDF" w:rsidRDefault="00761BE2" w:rsidP="00FE1BA6">
            <w:pPr>
              <w:jc w:val="center"/>
              <w:rPr>
                <w:sz w:val="22"/>
                <w:szCs w:val="22"/>
              </w:rPr>
            </w:pPr>
            <w:r w:rsidRPr="000D3FDF">
              <w:rPr>
                <w:sz w:val="22"/>
                <w:szCs w:val="22"/>
              </w:rPr>
              <w:t>90-120%</w:t>
            </w:r>
          </w:p>
          <w:p w:rsidR="00761BE2" w:rsidRPr="000D3FDF" w:rsidRDefault="00761BE2" w:rsidP="00FE1BA6">
            <w:pPr>
              <w:jc w:val="center"/>
              <w:rPr>
                <w:sz w:val="22"/>
                <w:szCs w:val="22"/>
              </w:rPr>
            </w:pPr>
            <w:r w:rsidRPr="000D3FDF">
              <w:rPr>
                <w:sz w:val="22"/>
                <w:szCs w:val="22"/>
              </w:rPr>
              <w:t>должностного</w:t>
            </w:r>
          </w:p>
          <w:p w:rsidR="00761BE2" w:rsidRPr="000D3FDF" w:rsidRDefault="00761BE2" w:rsidP="00FE1BA6">
            <w:pPr>
              <w:jc w:val="center"/>
              <w:rPr>
                <w:sz w:val="22"/>
                <w:szCs w:val="22"/>
              </w:rPr>
            </w:pPr>
            <w:r w:rsidRPr="000D3FDF">
              <w:rPr>
                <w:sz w:val="22"/>
                <w:szCs w:val="22"/>
              </w:rPr>
              <w:t>оклада</w:t>
            </w:r>
          </w:p>
        </w:tc>
        <w:tc>
          <w:tcPr>
            <w:tcW w:w="1843" w:type="dxa"/>
            <w:vAlign w:val="center"/>
          </w:tcPr>
          <w:p w:rsidR="00761BE2" w:rsidRPr="000D3FDF" w:rsidRDefault="00761BE2" w:rsidP="00FE1BA6">
            <w:pPr>
              <w:jc w:val="center"/>
              <w:rPr>
                <w:sz w:val="22"/>
                <w:szCs w:val="22"/>
              </w:rPr>
            </w:pPr>
            <w:r w:rsidRPr="000D3FDF">
              <w:rPr>
                <w:sz w:val="22"/>
                <w:szCs w:val="22"/>
              </w:rPr>
              <w:t>60-90%</w:t>
            </w:r>
          </w:p>
          <w:p w:rsidR="00761BE2" w:rsidRPr="000D3FDF" w:rsidRDefault="00761BE2" w:rsidP="00FE1BA6">
            <w:pPr>
              <w:jc w:val="center"/>
              <w:rPr>
                <w:sz w:val="22"/>
                <w:szCs w:val="22"/>
              </w:rPr>
            </w:pPr>
            <w:r w:rsidRPr="000D3FDF">
              <w:rPr>
                <w:sz w:val="22"/>
                <w:szCs w:val="22"/>
              </w:rPr>
              <w:t>должностного оклада</w:t>
            </w:r>
          </w:p>
        </w:tc>
        <w:tc>
          <w:tcPr>
            <w:tcW w:w="1832" w:type="dxa"/>
            <w:vAlign w:val="center"/>
          </w:tcPr>
          <w:p w:rsidR="00761BE2" w:rsidRPr="000D3FDF" w:rsidRDefault="00761BE2" w:rsidP="00FE1BA6">
            <w:pPr>
              <w:jc w:val="center"/>
              <w:rPr>
                <w:sz w:val="22"/>
                <w:szCs w:val="22"/>
              </w:rPr>
            </w:pPr>
            <w:r w:rsidRPr="000D3FDF">
              <w:rPr>
                <w:sz w:val="22"/>
                <w:szCs w:val="22"/>
              </w:rPr>
              <w:t>60-90%</w:t>
            </w:r>
          </w:p>
          <w:p w:rsidR="00761BE2" w:rsidRPr="000D3FDF" w:rsidRDefault="00761BE2" w:rsidP="00FE1BA6">
            <w:pPr>
              <w:jc w:val="center"/>
              <w:rPr>
                <w:sz w:val="22"/>
                <w:szCs w:val="22"/>
              </w:rPr>
            </w:pPr>
            <w:r w:rsidRPr="000D3FDF">
              <w:rPr>
                <w:sz w:val="22"/>
                <w:szCs w:val="22"/>
              </w:rPr>
              <w:t>должностного</w:t>
            </w:r>
          </w:p>
          <w:p w:rsidR="00761BE2" w:rsidRPr="000D3FDF" w:rsidRDefault="00761BE2" w:rsidP="00FE1BA6">
            <w:pPr>
              <w:jc w:val="center"/>
              <w:rPr>
                <w:sz w:val="22"/>
                <w:szCs w:val="22"/>
              </w:rPr>
            </w:pPr>
            <w:r w:rsidRPr="000D3FDF">
              <w:rPr>
                <w:sz w:val="22"/>
                <w:szCs w:val="22"/>
              </w:rPr>
              <w:t>оклада</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761BE2" w:rsidRPr="000D3FDF" w:rsidRDefault="00761BE2" w:rsidP="00FE1BA6">
            <w:pPr>
              <w:jc w:val="center"/>
              <w:rPr>
                <w:sz w:val="22"/>
                <w:szCs w:val="22"/>
              </w:rPr>
            </w:pPr>
            <w:r w:rsidRPr="000D3FDF">
              <w:rPr>
                <w:sz w:val="22"/>
                <w:szCs w:val="22"/>
              </w:rPr>
              <w:t>до 30% должностного оклада</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Премии за выполнение особо важных и сложных заданий</w:t>
            </w:r>
          </w:p>
        </w:tc>
        <w:tc>
          <w:tcPr>
            <w:tcW w:w="5381" w:type="dxa"/>
            <w:gridSpan w:val="3"/>
            <w:vAlign w:val="center"/>
          </w:tcPr>
          <w:p w:rsidR="00761BE2" w:rsidRPr="000D3FDF" w:rsidRDefault="00761BE2" w:rsidP="00FE1BA6">
            <w:pPr>
              <w:jc w:val="center"/>
              <w:rPr>
                <w:sz w:val="22"/>
                <w:szCs w:val="22"/>
              </w:rPr>
            </w:pPr>
            <w:r w:rsidRPr="000D3FDF">
              <w:rPr>
                <w:sz w:val="22"/>
                <w:szCs w:val="22"/>
              </w:rPr>
              <w:t>в соответствии с положением, утвержденным представителем нанимателя</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Ежемесячного денежного поощрения</w:t>
            </w:r>
          </w:p>
        </w:tc>
        <w:tc>
          <w:tcPr>
            <w:tcW w:w="5381" w:type="dxa"/>
            <w:gridSpan w:val="3"/>
            <w:vAlign w:val="center"/>
          </w:tcPr>
          <w:p w:rsidR="00761BE2" w:rsidRPr="000D3FDF" w:rsidRDefault="00761BE2" w:rsidP="00FE1BA6">
            <w:pPr>
              <w:jc w:val="center"/>
              <w:rPr>
                <w:sz w:val="22"/>
                <w:szCs w:val="22"/>
              </w:rPr>
            </w:pPr>
            <w:r w:rsidRPr="000D3FDF">
              <w:rPr>
                <w:sz w:val="22"/>
                <w:szCs w:val="22"/>
              </w:rPr>
              <w:t>один должностной оклад</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gridSpan w:val="3"/>
            <w:vAlign w:val="center"/>
          </w:tcPr>
          <w:p w:rsidR="00761BE2" w:rsidRPr="000D3FDF" w:rsidRDefault="00761BE2" w:rsidP="00FE1BA6">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761BE2" w:rsidRPr="000D3FDF" w:rsidTr="00FE1BA6">
        <w:tc>
          <w:tcPr>
            <w:tcW w:w="2744" w:type="dxa"/>
            <w:vAlign w:val="center"/>
          </w:tcPr>
          <w:p w:rsidR="00761BE2" w:rsidRPr="000D3FDF" w:rsidRDefault="00761BE2" w:rsidP="00FE1BA6">
            <w:pPr>
              <w:jc w:val="both"/>
              <w:rPr>
                <w:sz w:val="22"/>
                <w:szCs w:val="22"/>
              </w:rPr>
            </w:pPr>
            <w:r w:rsidRPr="000D3FDF">
              <w:rPr>
                <w:sz w:val="22"/>
                <w:szCs w:val="22"/>
              </w:rPr>
              <w:lastRenderedPageBreak/>
              <w:t>Материальной помощи</w:t>
            </w:r>
          </w:p>
        </w:tc>
        <w:tc>
          <w:tcPr>
            <w:tcW w:w="5381" w:type="dxa"/>
            <w:gridSpan w:val="3"/>
            <w:vAlign w:val="center"/>
          </w:tcPr>
          <w:p w:rsidR="00761BE2" w:rsidRPr="000D3FDF" w:rsidRDefault="00761BE2" w:rsidP="00FE1BA6">
            <w:pPr>
              <w:jc w:val="center"/>
              <w:rPr>
                <w:sz w:val="22"/>
                <w:szCs w:val="22"/>
              </w:rPr>
            </w:pPr>
            <w:r w:rsidRPr="000D3FDF">
              <w:rPr>
                <w:sz w:val="22"/>
                <w:szCs w:val="22"/>
              </w:rPr>
              <w:t>в соответствии с положением, утвержденным представителем нанимателя</w:t>
            </w:r>
          </w:p>
        </w:tc>
      </w:tr>
    </w:tbl>
    <w:p w:rsidR="00761BE2" w:rsidRPr="000D3FDF" w:rsidRDefault="00761BE2" w:rsidP="00761BE2">
      <w:pPr>
        <w:jc w:val="both"/>
        <w:rPr>
          <w:sz w:val="22"/>
          <w:szCs w:val="22"/>
        </w:rPr>
      </w:pPr>
    </w:p>
    <w:p w:rsidR="00761BE2" w:rsidRPr="000D3FDF" w:rsidRDefault="00761BE2" w:rsidP="00761BE2">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761BE2" w:rsidRPr="000D3FDF" w:rsidRDefault="00761BE2" w:rsidP="00761BE2">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61BE2" w:rsidRPr="000D3FDF" w:rsidRDefault="00761BE2" w:rsidP="00761BE2">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761BE2" w:rsidRPr="000D3FDF" w:rsidRDefault="00761BE2" w:rsidP="00761BE2">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61BE2" w:rsidRPr="000D3FDF" w:rsidRDefault="00761BE2" w:rsidP="00761BE2">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761BE2" w:rsidRPr="000D3FDF" w:rsidRDefault="00761BE2" w:rsidP="00761BE2">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15</w:t>
      </w:r>
      <w:r w:rsidRPr="000D3FDF">
        <w:rPr>
          <w:sz w:val="22"/>
          <w:szCs w:val="22"/>
          <w:u w:val="single"/>
        </w:rPr>
        <w:t>» марта 2022 года</w:t>
      </w:r>
      <w:r w:rsidRPr="000D3FDF">
        <w:rPr>
          <w:sz w:val="22"/>
          <w:szCs w:val="22"/>
        </w:rPr>
        <w:t xml:space="preserve">, окончание - в 18.00 </w:t>
      </w:r>
      <w:r w:rsidRPr="000D3FDF">
        <w:rPr>
          <w:sz w:val="22"/>
          <w:szCs w:val="22"/>
          <w:u w:val="single"/>
        </w:rPr>
        <w:t>«</w:t>
      </w:r>
      <w:r>
        <w:rPr>
          <w:sz w:val="22"/>
          <w:szCs w:val="22"/>
          <w:u w:val="single"/>
        </w:rPr>
        <w:t>04</w:t>
      </w:r>
      <w:r w:rsidRPr="000D3FDF">
        <w:rPr>
          <w:sz w:val="22"/>
          <w:szCs w:val="22"/>
          <w:u w:val="single"/>
        </w:rPr>
        <w:t xml:space="preserve">» </w:t>
      </w:r>
      <w:r>
        <w:rPr>
          <w:sz w:val="22"/>
          <w:szCs w:val="22"/>
          <w:u w:val="single"/>
        </w:rPr>
        <w:t>апреля</w:t>
      </w:r>
      <w:r w:rsidRPr="000D3FDF">
        <w:rPr>
          <w:sz w:val="22"/>
          <w:szCs w:val="22"/>
          <w:u w:val="single"/>
        </w:rPr>
        <w:t xml:space="preserve"> 2022 года.</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761BE2" w:rsidRPr="000D3FDF" w:rsidRDefault="00761BE2" w:rsidP="00761BE2">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761BE2" w:rsidRPr="000D3FDF" w:rsidRDefault="00761BE2" w:rsidP="00761BE2">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761BE2" w:rsidRPr="000D3FDF" w:rsidRDefault="00761BE2" w:rsidP="00761BE2">
      <w:pPr>
        <w:pStyle w:val="a7"/>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761BE2" w:rsidRPr="000D3FDF" w:rsidRDefault="00761BE2" w:rsidP="00761BE2">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lastRenderedPageBreak/>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761BE2" w:rsidRPr="000D3FDF" w:rsidRDefault="00761BE2" w:rsidP="00761BE2">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0D3FDF">
        <w:rPr>
          <w:sz w:val="22"/>
          <w:szCs w:val="22"/>
        </w:rPr>
        <w:t>(форма № 001-ГС/у));</w:t>
      </w:r>
      <w:proofErr w:type="gramEnd"/>
    </w:p>
    <w:p w:rsidR="00761BE2" w:rsidRPr="000D3FDF" w:rsidRDefault="00761BE2" w:rsidP="00761BE2">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761BE2" w:rsidRPr="000D3FDF" w:rsidRDefault="00761BE2" w:rsidP="00761BE2">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761BE2" w:rsidRPr="000D3FDF" w:rsidRDefault="00761BE2" w:rsidP="00761BE2">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761BE2" w:rsidRPr="000D3FDF" w:rsidRDefault="00761BE2" w:rsidP="00761BE2">
      <w:pPr>
        <w:jc w:val="both"/>
        <w:rPr>
          <w:sz w:val="22"/>
          <w:szCs w:val="22"/>
        </w:rPr>
      </w:pPr>
      <w:r w:rsidRPr="000D3FDF">
        <w:rPr>
          <w:sz w:val="22"/>
          <w:szCs w:val="22"/>
        </w:rPr>
        <w:t>и) согласие на обработку персональных данных;</w:t>
      </w:r>
    </w:p>
    <w:p w:rsidR="00761BE2" w:rsidRPr="000D3FDF" w:rsidRDefault="00761BE2" w:rsidP="00761BE2">
      <w:pPr>
        <w:jc w:val="both"/>
        <w:rPr>
          <w:sz w:val="22"/>
          <w:szCs w:val="22"/>
        </w:rPr>
      </w:pPr>
      <w:r w:rsidRPr="000D3FDF">
        <w:rPr>
          <w:sz w:val="22"/>
          <w:szCs w:val="22"/>
        </w:rPr>
        <w:t>к) согласие на получение персональных данных у третьей стороны.</w:t>
      </w:r>
    </w:p>
    <w:p w:rsidR="00761BE2" w:rsidRPr="000D3FDF" w:rsidRDefault="00761BE2" w:rsidP="00761BE2">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761BE2" w:rsidRPr="000D3FDF" w:rsidRDefault="00761BE2" w:rsidP="00761BE2">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61BE2" w:rsidRPr="000D3FDF" w:rsidRDefault="00761BE2" w:rsidP="00761BE2">
      <w:pPr>
        <w:pStyle w:val="a4"/>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761BE2" w:rsidRPr="000D3FDF" w:rsidRDefault="00761BE2" w:rsidP="00761BE2">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761BE2" w:rsidRDefault="00761BE2" w:rsidP="00761BE2">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-главного государственного налогового инспектора отдела анализа и планирования налоговых проверок  </w:t>
      </w:r>
      <w:r w:rsidRPr="000D3FDF">
        <w:rPr>
          <w:rFonts w:ascii="Times New Roman" w:hAnsi="Times New Roman" w:cs="Times New Roman"/>
          <w:sz w:val="22"/>
          <w:szCs w:val="22"/>
          <w:u w:val="single"/>
        </w:rPr>
        <w:t>«26» апреля 2022 года;</w:t>
      </w:r>
    </w:p>
    <w:p w:rsidR="00761BE2" w:rsidRPr="000D3FDF" w:rsidRDefault="00761BE2" w:rsidP="00761BE2">
      <w:pPr>
        <w:pStyle w:val="ConsNormal"/>
        <w:widowControl/>
        <w:ind w:right="0" w:firstLine="0"/>
        <w:jc w:val="both"/>
        <w:rPr>
          <w:rFonts w:ascii="Times New Roman" w:hAnsi="Times New Roman" w:cs="Times New Roman"/>
          <w:sz w:val="22"/>
          <w:szCs w:val="22"/>
          <w:u w:val="single"/>
        </w:rPr>
      </w:pPr>
      <w:r>
        <w:rPr>
          <w:rFonts w:ascii="Times New Roman" w:hAnsi="Times New Roman" w:cs="Times New Roman"/>
          <w:sz w:val="22"/>
          <w:szCs w:val="22"/>
        </w:rPr>
        <w:t>-</w:t>
      </w:r>
      <w:r w:rsidRPr="000D3FDF">
        <w:rPr>
          <w:rFonts w:ascii="Times New Roman" w:hAnsi="Times New Roman" w:cs="Times New Roman"/>
          <w:sz w:val="22"/>
          <w:szCs w:val="22"/>
        </w:rPr>
        <w:t xml:space="preserve">главного государственного налогового инспектора </w:t>
      </w:r>
      <w:r>
        <w:rPr>
          <w:rFonts w:ascii="Times New Roman" w:hAnsi="Times New Roman" w:cs="Times New Roman"/>
          <w:sz w:val="22"/>
          <w:szCs w:val="22"/>
        </w:rPr>
        <w:t xml:space="preserve">контрольно-аналитического </w:t>
      </w:r>
      <w:r w:rsidRPr="000D3FDF">
        <w:rPr>
          <w:rFonts w:ascii="Times New Roman" w:hAnsi="Times New Roman" w:cs="Times New Roman"/>
          <w:sz w:val="22"/>
          <w:szCs w:val="22"/>
        </w:rPr>
        <w:t xml:space="preserve">отдела  </w:t>
      </w:r>
      <w:r w:rsidRPr="000D3FDF">
        <w:rPr>
          <w:rFonts w:ascii="Times New Roman" w:hAnsi="Times New Roman" w:cs="Times New Roman"/>
          <w:sz w:val="22"/>
          <w:szCs w:val="22"/>
          <w:u w:val="single"/>
        </w:rPr>
        <w:t>«26» апреля 2022 года;</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-главного государственного налогового инспектора отдела анализа и прогнозирования </w:t>
      </w:r>
      <w:r w:rsidRPr="000D3FDF">
        <w:rPr>
          <w:rFonts w:ascii="Times New Roman" w:hAnsi="Times New Roman" w:cs="Times New Roman"/>
          <w:sz w:val="22"/>
          <w:szCs w:val="22"/>
          <w:u w:val="single"/>
        </w:rPr>
        <w:t>«27» апреля 2022 года</w:t>
      </w:r>
      <w:r w:rsidRPr="000D3FDF">
        <w:rPr>
          <w:rFonts w:ascii="Times New Roman" w:hAnsi="Times New Roman" w:cs="Times New Roman"/>
          <w:sz w:val="22"/>
          <w:szCs w:val="22"/>
        </w:rPr>
        <w:t>;</w:t>
      </w:r>
    </w:p>
    <w:p w:rsidR="00761BE2" w:rsidRPr="000D3FDF" w:rsidRDefault="00761BE2" w:rsidP="00761BE2">
      <w:pPr>
        <w:jc w:val="both"/>
        <w:rPr>
          <w:sz w:val="22"/>
          <w:szCs w:val="22"/>
        </w:rPr>
      </w:pPr>
      <w:r w:rsidRPr="000D3FDF">
        <w:rPr>
          <w:sz w:val="22"/>
          <w:szCs w:val="22"/>
        </w:rPr>
        <w:t xml:space="preserve">- главного государственного налогового инспектора отдела обеспечения процедур банкротства </w:t>
      </w:r>
      <w:r w:rsidRPr="000D3FDF">
        <w:rPr>
          <w:sz w:val="22"/>
          <w:szCs w:val="22"/>
          <w:u w:val="single"/>
        </w:rPr>
        <w:t>«28» апреля 2022 года</w:t>
      </w:r>
    </w:p>
    <w:p w:rsidR="00761BE2" w:rsidRPr="000D3FDF" w:rsidRDefault="00761BE2" w:rsidP="00761BE2">
      <w:pPr>
        <w:jc w:val="both"/>
        <w:rPr>
          <w:sz w:val="22"/>
          <w:szCs w:val="22"/>
        </w:rPr>
      </w:pPr>
      <w:r w:rsidRPr="000D3FDF">
        <w:rPr>
          <w:sz w:val="22"/>
          <w:szCs w:val="22"/>
        </w:rPr>
        <w:t xml:space="preserve">- старшего государственного налогового инспектора отдела обеспечения процедур банкротства </w:t>
      </w:r>
      <w:r w:rsidRPr="000D3FDF">
        <w:rPr>
          <w:sz w:val="22"/>
          <w:szCs w:val="22"/>
          <w:u w:val="single"/>
        </w:rPr>
        <w:t>«28» апреля 2022 года</w:t>
      </w:r>
    </w:p>
    <w:p w:rsidR="00761BE2" w:rsidRPr="000D3FDF" w:rsidRDefault="00761BE2" w:rsidP="00761BE2">
      <w:pPr>
        <w:jc w:val="both"/>
        <w:rPr>
          <w:sz w:val="22"/>
          <w:szCs w:val="22"/>
        </w:rPr>
      </w:pPr>
      <w:r w:rsidRPr="000D3FDF">
        <w:rPr>
          <w:sz w:val="22"/>
          <w:szCs w:val="22"/>
        </w:rPr>
        <w:t xml:space="preserve">- государственного налогового инспектора отдела обеспечения процедур банкротства </w:t>
      </w:r>
      <w:r w:rsidRPr="000D3FDF">
        <w:rPr>
          <w:sz w:val="22"/>
          <w:szCs w:val="22"/>
          <w:u w:val="single"/>
        </w:rPr>
        <w:t>«28» апреля 2022 года;</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761BE2" w:rsidRPr="000D3FDF" w:rsidRDefault="00761BE2" w:rsidP="00761BE2">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761BE2" w:rsidRPr="000D3FDF" w:rsidRDefault="00761BE2" w:rsidP="00761BE2">
      <w:pPr>
        <w:jc w:val="both"/>
        <w:rPr>
          <w:sz w:val="22"/>
          <w:szCs w:val="22"/>
        </w:rPr>
      </w:pPr>
      <w:r w:rsidRPr="000D3FDF">
        <w:rPr>
          <w:sz w:val="22"/>
          <w:szCs w:val="22"/>
        </w:rPr>
        <w:t>11. Нормативные документы для самоподготовки:</w:t>
      </w:r>
    </w:p>
    <w:p w:rsidR="00761BE2" w:rsidRPr="000D3FDF" w:rsidRDefault="00761BE2" w:rsidP="00761BE2">
      <w:pPr>
        <w:tabs>
          <w:tab w:val="left" w:pos="357"/>
        </w:tabs>
        <w:jc w:val="both"/>
        <w:rPr>
          <w:sz w:val="22"/>
          <w:szCs w:val="22"/>
        </w:rPr>
      </w:pPr>
      <w:r w:rsidRPr="000D3FDF">
        <w:rPr>
          <w:sz w:val="22"/>
          <w:szCs w:val="22"/>
          <w:u w:val="single"/>
        </w:rPr>
        <w:t>Общие</w:t>
      </w:r>
      <w:r w:rsidRPr="000D3FDF">
        <w:rPr>
          <w:sz w:val="22"/>
          <w:szCs w:val="22"/>
        </w:rPr>
        <w:t>:</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Конституция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Трудовой кодекс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color w:val="000000"/>
          <w:sz w:val="22"/>
          <w:szCs w:val="22"/>
        </w:rPr>
        <w:t>Налоговый кодекс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lastRenderedPageBreak/>
        <w:t>Федеральный закон от 27.07.2004 № 79-ФЗ «О государственной гражданской службе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761BE2" w:rsidRPr="000D3FDF" w:rsidRDefault="00761BE2" w:rsidP="00761BE2">
      <w:pPr>
        <w:pStyle w:val="a6"/>
        <w:numPr>
          <w:ilvl w:val="0"/>
          <w:numId w:val="2"/>
        </w:numPr>
        <w:tabs>
          <w:tab w:val="left" w:pos="357"/>
        </w:tabs>
        <w:ind w:left="176"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761BE2" w:rsidRPr="000D3FDF" w:rsidRDefault="00761BE2" w:rsidP="00761BE2">
      <w:pPr>
        <w:pStyle w:val="2"/>
        <w:tabs>
          <w:tab w:val="left" w:pos="357"/>
        </w:tabs>
        <w:spacing w:after="0" w:line="240" w:lineRule="auto"/>
        <w:jc w:val="both"/>
        <w:rPr>
          <w:sz w:val="22"/>
          <w:szCs w:val="22"/>
        </w:rPr>
      </w:pPr>
      <w:r w:rsidRPr="000D3FDF">
        <w:rPr>
          <w:rFonts w:eastAsiaTheme="minorHAnsi"/>
          <w:sz w:val="22"/>
          <w:szCs w:val="22"/>
          <w:u w:val="single"/>
        </w:rPr>
        <w:t>Для конкурса в отделе анализа и планирования налоговых проверок:</w:t>
      </w:r>
    </w:p>
    <w:p w:rsidR="00761BE2" w:rsidRPr="000D3FDF" w:rsidRDefault="00761BE2" w:rsidP="00761BE2">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t>Кодекс Российской Федерации об административных правонарушениях;</w:t>
      </w:r>
    </w:p>
    <w:p w:rsidR="00761BE2" w:rsidRPr="000D3FDF" w:rsidRDefault="00761BE2" w:rsidP="00761BE2">
      <w:pPr>
        <w:pStyle w:val="a6"/>
        <w:numPr>
          <w:ilvl w:val="0"/>
          <w:numId w:val="2"/>
        </w:numPr>
        <w:tabs>
          <w:tab w:val="left" w:pos="357"/>
        </w:tabs>
        <w:autoSpaceDE w:val="0"/>
        <w:autoSpaceDN w:val="0"/>
        <w:adjustRightInd w:val="0"/>
        <w:ind w:left="176" w:firstLine="0"/>
        <w:jc w:val="both"/>
        <w:outlineLvl w:val="0"/>
        <w:rPr>
          <w:sz w:val="22"/>
          <w:szCs w:val="22"/>
        </w:rPr>
      </w:pPr>
      <w:r w:rsidRPr="000D3FDF">
        <w:rPr>
          <w:sz w:val="22"/>
          <w:szCs w:val="22"/>
        </w:rPr>
        <w:t xml:space="preserve">Федеральный </w:t>
      </w:r>
      <w:hyperlink r:id="rId7" w:history="1">
        <w:r w:rsidRPr="000D3FDF">
          <w:rPr>
            <w:sz w:val="22"/>
            <w:szCs w:val="22"/>
          </w:rPr>
          <w:t>закон</w:t>
        </w:r>
      </w:hyperlink>
      <w:r w:rsidRPr="000D3FDF">
        <w:rPr>
          <w:sz w:val="22"/>
          <w:szCs w:val="22"/>
        </w:rPr>
        <w:t xml:space="preserve"> от 08.08.2001 </w:t>
      </w:r>
      <w:r>
        <w:rPr>
          <w:sz w:val="22"/>
          <w:szCs w:val="22"/>
        </w:rPr>
        <w:t xml:space="preserve">№ </w:t>
      </w:r>
      <w:r w:rsidRPr="000D3FDF">
        <w:rPr>
          <w:sz w:val="22"/>
          <w:szCs w:val="22"/>
        </w:rPr>
        <w:t>129-ФЗ "О государственной регистрации юридических лиц и индивидуальных предпринимателей";</w:t>
      </w:r>
    </w:p>
    <w:p w:rsidR="00761BE2" w:rsidRPr="000D3FDF" w:rsidRDefault="00761BE2" w:rsidP="00761BE2">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t>Приказ Министерства финансов Российской Федерации от 2 июля 2010 №66н «О формах бухгалтерской отчетности организаций»;</w:t>
      </w:r>
    </w:p>
    <w:p w:rsidR="00761BE2" w:rsidRDefault="00761BE2" w:rsidP="00761BE2">
      <w:pPr>
        <w:pStyle w:val="a6"/>
        <w:numPr>
          <w:ilvl w:val="0"/>
          <w:numId w:val="2"/>
        </w:numPr>
        <w:tabs>
          <w:tab w:val="left" w:pos="357"/>
        </w:tabs>
        <w:autoSpaceDE w:val="0"/>
        <w:autoSpaceDN w:val="0"/>
        <w:adjustRightInd w:val="0"/>
        <w:ind w:left="176" w:firstLine="0"/>
        <w:jc w:val="both"/>
        <w:outlineLvl w:val="0"/>
        <w:rPr>
          <w:color w:val="000000"/>
          <w:sz w:val="22"/>
          <w:szCs w:val="22"/>
        </w:rPr>
      </w:pPr>
      <w:r w:rsidRPr="000D3FDF">
        <w:rPr>
          <w:color w:val="000000"/>
          <w:sz w:val="22"/>
          <w:szCs w:val="22"/>
        </w:rPr>
        <w:t>Приказ ФНС Росси от 30.05.2007 №ММ-3-06/333@ «Об утверждении Концепции системы планирования выездных налоговых про</w:t>
      </w:r>
      <w:r>
        <w:rPr>
          <w:color w:val="000000"/>
          <w:sz w:val="22"/>
          <w:szCs w:val="22"/>
        </w:rPr>
        <w:t>верок».</w:t>
      </w:r>
    </w:p>
    <w:p w:rsidR="00761BE2" w:rsidRPr="000D3FDF" w:rsidRDefault="00761BE2" w:rsidP="00761BE2">
      <w:pPr>
        <w:pStyle w:val="2"/>
        <w:tabs>
          <w:tab w:val="left" w:pos="357"/>
        </w:tabs>
        <w:spacing w:after="0" w:line="240" w:lineRule="auto"/>
        <w:ind w:left="176"/>
        <w:jc w:val="both"/>
        <w:rPr>
          <w:sz w:val="22"/>
          <w:szCs w:val="22"/>
        </w:rPr>
      </w:pPr>
      <w:r w:rsidRPr="000D3FDF">
        <w:rPr>
          <w:rFonts w:eastAsiaTheme="minorHAnsi"/>
          <w:sz w:val="22"/>
          <w:szCs w:val="22"/>
          <w:u w:val="single"/>
        </w:rPr>
        <w:t>Для конкурса в</w:t>
      </w:r>
      <w:r>
        <w:rPr>
          <w:rFonts w:eastAsiaTheme="minorHAnsi"/>
          <w:sz w:val="22"/>
          <w:szCs w:val="22"/>
          <w:u w:val="single"/>
        </w:rPr>
        <w:t xml:space="preserve"> контрольно-аналитическом</w:t>
      </w:r>
      <w:r w:rsidRPr="000D3FDF">
        <w:rPr>
          <w:rFonts w:eastAsiaTheme="minorHAnsi"/>
          <w:sz w:val="22"/>
          <w:szCs w:val="22"/>
          <w:u w:val="single"/>
        </w:rPr>
        <w:t xml:space="preserve"> отделе:</w:t>
      </w:r>
    </w:p>
    <w:p w:rsidR="00761BE2" w:rsidRPr="00A06386" w:rsidRDefault="00761BE2" w:rsidP="00761BE2">
      <w:pPr>
        <w:pStyle w:val="a6"/>
        <w:numPr>
          <w:ilvl w:val="0"/>
          <w:numId w:val="2"/>
        </w:numPr>
        <w:ind w:left="176" w:firstLine="0"/>
        <w:jc w:val="both"/>
        <w:rPr>
          <w:sz w:val="22"/>
          <w:szCs w:val="22"/>
        </w:rPr>
      </w:pPr>
      <w:r w:rsidRPr="00A06386">
        <w:rPr>
          <w:sz w:val="22"/>
          <w:szCs w:val="22"/>
        </w:rPr>
        <w:t xml:space="preserve">Соглашение о взаимодействии между Следственным комитетом Российской Федерации и Федеральной налоговой службой от 13.02.2012 года </w:t>
      </w:r>
      <w:r>
        <w:rPr>
          <w:sz w:val="22"/>
          <w:szCs w:val="22"/>
        </w:rPr>
        <w:t xml:space="preserve">          </w:t>
      </w:r>
      <w:r w:rsidRPr="00A06386">
        <w:rPr>
          <w:sz w:val="22"/>
          <w:szCs w:val="22"/>
        </w:rPr>
        <w:t>№ 101-162-12/ММВ-27-2/3;</w:t>
      </w:r>
    </w:p>
    <w:p w:rsidR="00761BE2" w:rsidRPr="00A06386" w:rsidRDefault="00761BE2" w:rsidP="00761BE2">
      <w:pPr>
        <w:pStyle w:val="a6"/>
        <w:numPr>
          <w:ilvl w:val="0"/>
          <w:numId w:val="2"/>
        </w:numPr>
        <w:ind w:left="176" w:firstLine="0"/>
        <w:jc w:val="both"/>
        <w:rPr>
          <w:sz w:val="22"/>
          <w:szCs w:val="22"/>
        </w:rPr>
      </w:pPr>
      <w:r w:rsidRPr="00A06386">
        <w:rPr>
          <w:sz w:val="22"/>
          <w:szCs w:val="22"/>
        </w:rPr>
        <w:t xml:space="preserve">Письмо </w:t>
      </w:r>
      <w:r>
        <w:rPr>
          <w:sz w:val="22"/>
          <w:szCs w:val="22"/>
        </w:rPr>
        <w:t xml:space="preserve">ФНС России </w:t>
      </w:r>
      <w:r w:rsidRPr="00A06386">
        <w:rPr>
          <w:sz w:val="22"/>
          <w:szCs w:val="22"/>
        </w:rPr>
        <w:t>от 19.11.2012 г. № АС-4-2/19400 «О направлении материалов в следственные органы»;</w:t>
      </w:r>
    </w:p>
    <w:p w:rsidR="00761BE2" w:rsidRPr="00A06386" w:rsidRDefault="00761BE2" w:rsidP="00761BE2">
      <w:pPr>
        <w:pStyle w:val="a6"/>
        <w:numPr>
          <w:ilvl w:val="0"/>
          <w:numId w:val="2"/>
        </w:numPr>
        <w:ind w:left="176" w:firstLine="0"/>
        <w:jc w:val="both"/>
        <w:rPr>
          <w:sz w:val="22"/>
          <w:szCs w:val="22"/>
        </w:rPr>
      </w:pPr>
      <w:r w:rsidRPr="00A06386">
        <w:rPr>
          <w:sz w:val="22"/>
          <w:szCs w:val="22"/>
        </w:rPr>
        <w:t>Письмо ФНС России от 02.06.2016 г. № ГД-4-8/9849 «Об организации работы по взаимодействию с правоохранительными органами в случаях выявления признаков налоговых преступлений»;</w:t>
      </w:r>
    </w:p>
    <w:p w:rsidR="00761BE2" w:rsidRPr="00A06386" w:rsidRDefault="00761BE2" w:rsidP="00761BE2">
      <w:pPr>
        <w:pStyle w:val="a6"/>
        <w:numPr>
          <w:ilvl w:val="0"/>
          <w:numId w:val="2"/>
        </w:numPr>
        <w:ind w:left="176" w:firstLine="0"/>
        <w:jc w:val="both"/>
        <w:rPr>
          <w:sz w:val="22"/>
          <w:szCs w:val="22"/>
        </w:rPr>
      </w:pPr>
      <w:r w:rsidRPr="00A06386">
        <w:rPr>
          <w:sz w:val="22"/>
          <w:szCs w:val="22"/>
        </w:rPr>
        <w:t>Письмо ФНС России от 16.08.2017 г. № СА-4-7/16152@ о применении норм Федерального закона от 18.07.2017 № 163-ФЗ "О внесении изменений в часть первую Налогового кодекса Российской Федерации";</w:t>
      </w:r>
    </w:p>
    <w:p w:rsidR="00761BE2" w:rsidRPr="00A06386" w:rsidRDefault="00761BE2" w:rsidP="00761BE2">
      <w:pPr>
        <w:pStyle w:val="a6"/>
        <w:numPr>
          <w:ilvl w:val="0"/>
          <w:numId w:val="2"/>
        </w:numPr>
        <w:ind w:left="176" w:firstLine="0"/>
        <w:jc w:val="both"/>
        <w:rPr>
          <w:sz w:val="22"/>
          <w:szCs w:val="22"/>
        </w:rPr>
      </w:pPr>
      <w:r w:rsidRPr="00A06386">
        <w:rPr>
          <w:sz w:val="22"/>
          <w:szCs w:val="22"/>
        </w:rPr>
        <w:t>Письмо ФНС России от 31.10.2017 г. № ЕД-4-9/22123@ «О рекомендациях по применению положений статьи 54.1 Налогового кодекса Российской Федерации»;</w:t>
      </w:r>
    </w:p>
    <w:p w:rsidR="00761BE2" w:rsidRPr="00A06386" w:rsidRDefault="00761BE2" w:rsidP="00761BE2">
      <w:pPr>
        <w:pStyle w:val="a6"/>
        <w:numPr>
          <w:ilvl w:val="0"/>
          <w:numId w:val="2"/>
        </w:numPr>
        <w:ind w:left="176" w:firstLine="0"/>
        <w:jc w:val="both"/>
        <w:rPr>
          <w:rFonts w:eastAsiaTheme="minorHAnsi"/>
          <w:sz w:val="22"/>
          <w:szCs w:val="22"/>
        </w:rPr>
      </w:pPr>
      <w:r w:rsidRPr="00A06386">
        <w:rPr>
          <w:sz w:val="22"/>
          <w:szCs w:val="22"/>
        </w:rPr>
        <w:t>Письмо ФНС России от 13.07.2017 г. № ЕД-4-2/13650@ «О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w:t>
      </w:r>
    </w:p>
    <w:p w:rsidR="00761BE2" w:rsidRPr="000D3FDF" w:rsidRDefault="00761BE2" w:rsidP="00761BE2">
      <w:pPr>
        <w:tabs>
          <w:tab w:val="left" w:pos="357"/>
        </w:tabs>
        <w:ind w:left="176"/>
        <w:jc w:val="both"/>
        <w:rPr>
          <w:rFonts w:eastAsiaTheme="minorHAnsi"/>
          <w:sz w:val="22"/>
          <w:szCs w:val="22"/>
          <w:u w:val="single"/>
        </w:rPr>
      </w:pPr>
      <w:r w:rsidRPr="000D3FDF">
        <w:rPr>
          <w:rFonts w:eastAsiaTheme="minorHAnsi"/>
          <w:sz w:val="22"/>
          <w:szCs w:val="22"/>
          <w:u w:val="single"/>
        </w:rPr>
        <w:t>Для конкурса в отделе анализа и прогнозирования:</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 xml:space="preserve">Федеральный закон от 03.12.2012 № 230-ФЗ «О </w:t>
      </w:r>
      <w:proofErr w:type="gramStart"/>
      <w:r w:rsidRPr="000D3FDF">
        <w:rPr>
          <w:sz w:val="22"/>
          <w:szCs w:val="22"/>
        </w:rPr>
        <w:t>контроле за</w:t>
      </w:r>
      <w:proofErr w:type="gramEnd"/>
      <w:r w:rsidRPr="000D3FDF">
        <w:rPr>
          <w:sz w:val="22"/>
          <w:szCs w:val="22"/>
        </w:rPr>
        <w:t xml:space="preserve"> соответствием расходов лиц, замещающих государственные должности, и иных лиц их доходам»;</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Бюджетный кодекс Российской Федерации;</w:t>
      </w:r>
    </w:p>
    <w:p w:rsidR="00761BE2" w:rsidRPr="000D3FDF" w:rsidRDefault="00761BE2" w:rsidP="00761BE2">
      <w:pPr>
        <w:pStyle w:val="2"/>
        <w:numPr>
          <w:ilvl w:val="0"/>
          <w:numId w:val="2"/>
        </w:numPr>
        <w:tabs>
          <w:tab w:val="left" w:pos="357"/>
        </w:tabs>
        <w:spacing w:after="0" w:line="240" w:lineRule="auto"/>
        <w:ind w:left="176" w:firstLine="0"/>
        <w:jc w:val="both"/>
        <w:rPr>
          <w:sz w:val="22"/>
          <w:szCs w:val="22"/>
        </w:rPr>
      </w:pPr>
      <w:r w:rsidRPr="000D3FDF">
        <w:rPr>
          <w:sz w:val="22"/>
          <w:szCs w:val="22"/>
        </w:rPr>
        <w:t xml:space="preserve">Методика прогнозирования поступлений доходов в консолидированный бюджет Российской Федерации на текущий год, очередной финансовый год и плановый период, </w:t>
      </w:r>
      <w:r w:rsidRPr="000D3FDF">
        <w:rPr>
          <w:bCs/>
          <w:sz w:val="22"/>
          <w:szCs w:val="22"/>
        </w:rPr>
        <w:t>утвержденная приказом ФНС России от 14.07.2021 № ЕД-7-1/662@;</w:t>
      </w:r>
    </w:p>
    <w:p w:rsidR="00761BE2" w:rsidRPr="000D3FDF" w:rsidRDefault="00761BE2" w:rsidP="00761BE2">
      <w:pPr>
        <w:pStyle w:val="2"/>
        <w:numPr>
          <w:ilvl w:val="0"/>
          <w:numId w:val="2"/>
        </w:numPr>
        <w:tabs>
          <w:tab w:val="left" w:pos="357"/>
        </w:tabs>
        <w:spacing w:after="0" w:line="240" w:lineRule="auto"/>
        <w:ind w:left="176" w:firstLine="0"/>
        <w:jc w:val="both"/>
        <w:rPr>
          <w:sz w:val="22"/>
          <w:szCs w:val="22"/>
        </w:rPr>
      </w:pPr>
      <w:r w:rsidRPr="000D3FDF">
        <w:rPr>
          <w:sz w:val="22"/>
          <w:szCs w:val="22"/>
        </w:rPr>
        <w:t>Методика прогнозирования поступлений доходов, администрируемых Управлением Федеральной налоговой службы по Краснодарскому краю, в консолидированный бюджет Краснодарского края на текущий год, очередной финансовый год и плановый период, утвержденная приказом УФНС России по Краснодарскому краю от 30.07.2021 № 01-01/81@;</w:t>
      </w:r>
    </w:p>
    <w:p w:rsidR="00761BE2" w:rsidRPr="000D3FDF" w:rsidRDefault="00761BE2" w:rsidP="00761BE2">
      <w:pPr>
        <w:pStyle w:val="2"/>
        <w:numPr>
          <w:ilvl w:val="0"/>
          <w:numId w:val="2"/>
        </w:numPr>
        <w:tabs>
          <w:tab w:val="left" w:pos="357"/>
        </w:tabs>
        <w:spacing w:after="0" w:line="240" w:lineRule="auto"/>
        <w:ind w:left="176" w:firstLine="0"/>
        <w:jc w:val="both"/>
        <w:rPr>
          <w:sz w:val="22"/>
          <w:szCs w:val="22"/>
        </w:rPr>
      </w:pPr>
      <w:r w:rsidRPr="000D3FDF">
        <w:rPr>
          <w:sz w:val="22"/>
          <w:szCs w:val="22"/>
        </w:rPr>
        <w:t xml:space="preserve">Методика </w:t>
      </w:r>
      <w:r w:rsidRPr="000D3FDF">
        <w:rPr>
          <w:bCs/>
          <w:sz w:val="22"/>
          <w:szCs w:val="22"/>
        </w:rPr>
        <w:t xml:space="preserve">прогнозирования поступлений доходов в государственные внебюджетные фонды Российской Федерации на очередной финансовый год и плановый период, утвержденная приказом ФНС России от 04.09.2019 № </w:t>
      </w:r>
      <w:r w:rsidRPr="000D3FDF">
        <w:rPr>
          <w:sz w:val="22"/>
          <w:szCs w:val="22"/>
        </w:rPr>
        <w:t>ММВ-7-1/439@;</w:t>
      </w:r>
    </w:p>
    <w:p w:rsidR="00761BE2" w:rsidRPr="000D3FDF" w:rsidRDefault="00761BE2" w:rsidP="00761BE2">
      <w:pPr>
        <w:tabs>
          <w:tab w:val="left" w:pos="357"/>
        </w:tabs>
        <w:ind w:left="176"/>
        <w:jc w:val="both"/>
        <w:rPr>
          <w:rFonts w:eastAsiaTheme="minorHAnsi"/>
          <w:sz w:val="22"/>
          <w:szCs w:val="22"/>
          <w:u w:val="single"/>
        </w:rPr>
      </w:pPr>
      <w:r w:rsidRPr="000D3FDF">
        <w:rPr>
          <w:rFonts w:eastAsiaTheme="minorHAnsi"/>
          <w:sz w:val="22"/>
          <w:szCs w:val="22"/>
          <w:u w:val="single"/>
        </w:rPr>
        <w:t>Для конкурса в отделе обеспечения процедур банкротства:</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Федеральный закон от 26.10.2002 № 127-ФЗ;</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lastRenderedPageBreak/>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761BE2" w:rsidRPr="000D3FDF" w:rsidRDefault="00761BE2" w:rsidP="00761BE2">
      <w:pPr>
        <w:pStyle w:val="a6"/>
        <w:numPr>
          <w:ilvl w:val="0"/>
          <w:numId w:val="2"/>
        </w:numPr>
        <w:tabs>
          <w:tab w:val="left" w:pos="357"/>
        </w:tabs>
        <w:ind w:left="176" w:firstLine="0"/>
        <w:jc w:val="both"/>
        <w:rPr>
          <w:sz w:val="22"/>
          <w:szCs w:val="22"/>
        </w:rPr>
      </w:pPr>
      <w:r w:rsidRPr="000D3FDF">
        <w:rPr>
          <w:sz w:val="22"/>
          <w:szCs w:val="22"/>
        </w:rPr>
        <w:t>Приказ Министерства экономического развития и торговли РФ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761BE2" w:rsidRPr="000D3FDF" w:rsidRDefault="00761BE2" w:rsidP="00761BE2">
      <w:pPr>
        <w:pStyle w:val="a6"/>
        <w:numPr>
          <w:ilvl w:val="0"/>
          <w:numId w:val="2"/>
        </w:numPr>
        <w:tabs>
          <w:tab w:val="left" w:pos="176"/>
        </w:tabs>
        <w:ind w:left="176" w:firstLine="0"/>
        <w:jc w:val="both"/>
        <w:rPr>
          <w:sz w:val="22"/>
          <w:szCs w:val="22"/>
        </w:rPr>
      </w:pPr>
      <w:r w:rsidRPr="000D3FDF">
        <w:rPr>
          <w:sz w:val="22"/>
          <w:szCs w:val="22"/>
        </w:rPr>
        <w:t>Приказ Министерства экономического развития и торговли РФ от 02.08.2004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761BE2" w:rsidRPr="000D3FDF" w:rsidRDefault="00761BE2" w:rsidP="00761BE2">
      <w:pPr>
        <w:jc w:val="both"/>
        <w:rPr>
          <w:rFonts w:eastAsiaTheme="minorHAnsi"/>
          <w:sz w:val="22"/>
          <w:szCs w:val="22"/>
        </w:rPr>
      </w:pP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761BE2" w:rsidRPr="000D3FDF" w:rsidRDefault="00761BE2" w:rsidP="00761BE2">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761BE2" w:rsidRPr="000D3FDF" w:rsidRDefault="00761BE2" w:rsidP="00761BE2">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61BE2" w:rsidRPr="000D3FDF" w:rsidRDefault="00761BE2" w:rsidP="00761BE2">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761BE2" w:rsidRPr="000D3FDF" w:rsidRDefault="00761BE2" w:rsidP="00761BE2">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761BE2" w:rsidRPr="000D3FDF" w:rsidRDefault="00761BE2" w:rsidP="00761BE2">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67DE" w:rsidRDefault="00761BE2" w:rsidP="00761BE2">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DA6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E2"/>
    <w:rsid w:val="00761BE2"/>
    <w:rsid w:val="00DA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BE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B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61B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61BE2"/>
    <w:rPr>
      <w:b/>
      <w:bCs/>
      <w:color w:val="000080"/>
    </w:rPr>
  </w:style>
  <w:style w:type="paragraph" w:styleId="a4">
    <w:name w:val="Body Text"/>
    <w:basedOn w:val="a"/>
    <w:link w:val="a5"/>
    <w:rsid w:val="00761BE2"/>
    <w:pPr>
      <w:spacing w:after="120"/>
    </w:pPr>
    <w:rPr>
      <w:snapToGrid/>
      <w:sz w:val="24"/>
      <w:szCs w:val="24"/>
      <w:lang w:val="x-none" w:eastAsia="x-none"/>
    </w:rPr>
  </w:style>
  <w:style w:type="character" w:customStyle="1" w:styleId="a5">
    <w:name w:val="Основной текст Знак"/>
    <w:basedOn w:val="a0"/>
    <w:link w:val="a4"/>
    <w:rsid w:val="00761BE2"/>
    <w:rPr>
      <w:rFonts w:ascii="Times New Roman" w:eastAsia="Times New Roman" w:hAnsi="Times New Roman" w:cs="Times New Roman"/>
      <w:sz w:val="24"/>
      <w:szCs w:val="24"/>
      <w:lang w:val="x-none" w:eastAsia="x-none"/>
    </w:rPr>
  </w:style>
  <w:style w:type="paragraph" w:styleId="2">
    <w:name w:val="Body Text 2"/>
    <w:basedOn w:val="a"/>
    <w:link w:val="20"/>
    <w:rsid w:val="00761BE2"/>
    <w:pPr>
      <w:spacing w:after="120" w:line="480" w:lineRule="auto"/>
    </w:pPr>
    <w:rPr>
      <w:snapToGrid/>
      <w:sz w:val="24"/>
      <w:szCs w:val="24"/>
    </w:rPr>
  </w:style>
  <w:style w:type="character" w:customStyle="1" w:styleId="20">
    <w:name w:val="Основной текст 2 Знак"/>
    <w:basedOn w:val="a0"/>
    <w:link w:val="2"/>
    <w:rsid w:val="00761BE2"/>
    <w:rPr>
      <w:rFonts w:ascii="Times New Roman" w:eastAsia="Times New Roman" w:hAnsi="Times New Roman" w:cs="Times New Roman"/>
      <w:sz w:val="24"/>
      <w:szCs w:val="24"/>
      <w:lang w:eastAsia="ru-RU"/>
    </w:rPr>
  </w:style>
  <w:style w:type="paragraph" w:styleId="a6">
    <w:name w:val="List Paragraph"/>
    <w:basedOn w:val="a"/>
    <w:uiPriority w:val="34"/>
    <w:qFormat/>
    <w:rsid w:val="00761BE2"/>
    <w:pPr>
      <w:ind w:left="720"/>
      <w:contextualSpacing/>
    </w:pPr>
  </w:style>
  <w:style w:type="paragraph" w:styleId="a7">
    <w:name w:val="Normal (Web)"/>
    <w:basedOn w:val="a"/>
    <w:rsid w:val="00761BE2"/>
    <w:pPr>
      <w:spacing w:before="100" w:beforeAutospacing="1" w:after="100" w:afterAutospacing="1"/>
    </w:pPr>
    <w:rPr>
      <w:snapToGrid/>
      <w:sz w:val="24"/>
      <w:szCs w:val="24"/>
    </w:rPr>
  </w:style>
  <w:style w:type="table" w:styleId="a8">
    <w:name w:val="Table Grid"/>
    <w:basedOn w:val="a1"/>
    <w:uiPriority w:val="59"/>
    <w:rsid w:val="00761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BE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B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61B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61BE2"/>
    <w:rPr>
      <w:b/>
      <w:bCs/>
      <w:color w:val="000080"/>
    </w:rPr>
  </w:style>
  <w:style w:type="paragraph" w:styleId="a4">
    <w:name w:val="Body Text"/>
    <w:basedOn w:val="a"/>
    <w:link w:val="a5"/>
    <w:rsid w:val="00761BE2"/>
    <w:pPr>
      <w:spacing w:after="120"/>
    </w:pPr>
    <w:rPr>
      <w:snapToGrid/>
      <w:sz w:val="24"/>
      <w:szCs w:val="24"/>
      <w:lang w:val="x-none" w:eastAsia="x-none"/>
    </w:rPr>
  </w:style>
  <w:style w:type="character" w:customStyle="1" w:styleId="a5">
    <w:name w:val="Основной текст Знак"/>
    <w:basedOn w:val="a0"/>
    <w:link w:val="a4"/>
    <w:rsid w:val="00761BE2"/>
    <w:rPr>
      <w:rFonts w:ascii="Times New Roman" w:eastAsia="Times New Roman" w:hAnsi="Times New Roman" w:cs="Times New Roman"/>
      <w:sz w:val="24"/>
      <w:szCs w:val="24"/>
      <w:lang w:val="x-none" w:eastAsia="x-none"/>
    </w:rPr>
  </w:style>
  <w:style w:type="paragraph" w:styleId="2">
    <w:name w:val="Body Text 2"/>
    <w:basedOn w:val="a"/>
    <w:link w:val="20"/>
    <w:rsid w:val="00761BE2"/>
    <w:pPr>
      <w:spacing w:after="120" w:line="480" w:lineRule="auto"/>
    </w:pPr>
    <w:rPr>
      <w:snapToGrid/>
      <w:sz w:val="24"/>
      <w:szCs w:val="24"/>
    </w:rPr>
  </w:style>
  <w:style w:type="character" w:customStyle="1" w:styleId="20">
    <w:name w:val="Основной текст 2 Знак"/>
    <w:basedOn w:val="a0"/>
    <w:link w:val="2"/>
    <w:rsid w:val="00761BE2"/>
    <w:rPr>
      <w:rFonts w:ascii="Times New Roman" w:eastAsia="Times New Roman" w:hAnsi="Times New Roman" w:cs="Times New Roman"/>
      <w:sz w:val="24"/>
      <w:szCs w:val="24"/>
      <w:lang w:eastAsia="ru-RU"/>
    </w:rPr>
  </w:style>
  <w:style w:type="paragraph" w:styleId="a6">
    <w:name w:val="List Paragraph"/>
    <w:basedOn w:val="a"/>
    <w:uiPriority w:val="34"/>
    <w:qFormat/>
    <w:rsid w:val="00761BE2"/>
    <w:pPr>
      <w:ind w:left="720"/>
      <w:contextualSpacing/>
    </w:pPr>
  </w:style>
  <w:style w:type="paragraph" w:styleId="a7">
    <w:name w:val="Normal (Web)"/>
    <w:basedOn w:val="a"/>
    <w:rsid w:val="00761BE2"/>
    <w:pPr>
      <w:spacing w:before="100" w:beforeAutospacing="1" w:after="100" w:afterAutospacing="1"/>
    </w:pPr>
    <w:rPr>
      <w:snapToGrid/>
      <w:sz w:val="24"/>
      <w:szCs w:val="24"/>
    </w:rPr>
  </w:style>
  <w:style w:type="table" w:styleId="a8">
    <w:name w:val="Table Grid"/>
    <w:basedOn w:val="a1"/>
    <w:uiPriority w:val="59"/>
    <w:rsid w:val="00761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consultantplus://offline/ref=37D049AE7734C32AD32F7A0AEDE1EC8CA54186876272E9E58B2FBAFBA0P3v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2022-03-24T11:34:00Z</dcterms:created>
  <dcterms:modified xsi:type="dcterms:W3CDTF">2022-03-24T11:34:00Z</dcterms:modified>
</cp:coreProperties>
</file>