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6F" w:rsidRDefault="00F7706F">
      <w:pPr>
        <w:pStyle w:val="ConsPlusNormal"/>
        <w:jc w:val="right"/>
      </w:pPr>
      <w:r>
        <w:t>Приложение</w:t>
      </w:r>
    </w:p>
    <w:p w:rsidR="00F7706F" w:rsidRDefault="00F7706F">
      <w:pPr>
        <w:pStyle w:val="ConsPlusNormal"/>
        <w:jc w:val="right"/>
      </w:pPr>
      <w:r>
        <w:t>к Закону</w:t>
      </w:r>
    </w:p>
    <w:p w:rsidR="00F7706F" w:rsidRDefault="00F7706F">
      <w:pPr>
        <w:pStyle w:val="ConsPlusNormal"/>
        <w:jc w:val="right"/>
      </w:pPr>
      <w:r>
        <w:t>Приморского края</w:t>
      </w:r>
    </w:p>
    <w:p w:rsidR="00F7706F" w:rsidRDefault="00F7706F">
      <w:pPr>
        <w:pStyle w:val="ConsPlusNormal"/>
        <w:jc w:val="right"/>
      </w:pPr>
      <w:r>
        <w:t>от 19.11.2015 N 713-КЗ</w:t>
      </w:r>
    </w:p>
    <w:p w:rsidR="00F7706F" w:rsidRDefault="00F7706F">
      <w:pPr>
        <w:pStyle w:val="ConsPlusNormal"/>
        <w:jc w:val="both"/>
      </w:pPr>
    </w:p>
    <w:p w:rsidR="00F7706F" w:rsidRDefault="00F7706F">
      <w:pPr>
        <w:pStyle w:val="ConsPlusTitle"/>
        <w:jc w:val="center"/>
      </w:pPr>
      <w:bookmarkStart w:id="0" w:name="P46"/>
      <w:bookmarkEnd w:id="0"/>
      <w:r>
        <w:t>ВИДЫ</w:t>
      </w:r>
    </w:p>
    <w:p w:rsidR="00F7706F" w:rsidRDefault="00F7706F">
      <w:pPr>
        <w:pStyle w:val="ConsPlusTitle"/>
        <w:jc w:val="center"/>
      </w:pPr>
      <w:r>
        <w:t>ПРЕДПРИНИМАТЕЛЬСКОЙ ДЕЯТЕЛЬНОСТИ</w:t>
      </w:r>
    </w:p>
    <w:p w:rsidR="00F7706F" w:rsidRDefault="00F7706F">
      <w:pPr>
        <w:pStyle w:val="ConsPlusTitle"/>
        <w:jc w:val="center"/>
      </w:pPr>
      <w:r>
        <w:t>В ПРОИЗВОДСТВЕННОЙ, СОЦИАЛЬНОЙ И (ИЛИ) НАУЧНОЙ СФЕРАХ,</w:t>
      </w:r>
    </w:p>
    <w:p w:rsidR="00F7706F" w:rsidRDefault="00F7706F">
      <w:pPr>
        <w:pStyle w:val="ConsPlusTitle"/>
        <w:jc w:val="center"/>
      </w:pPr>
      <w:r>
        <w:t>А ТАКЖЕ В СФЕРЕ БЫТОВЫХ УСЛУГ НАСЕЛЕНИЮ, В ОТНОШЕНИИ</w:t>
      </w:r>
    </w:p>
    <w:p w:rsidR="00F7706F" w:rsidRDefault="00F7706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НАЛОГОВАЯ СТАВКА В РАЗМЕРЕ</w:t>
      </w:r>
    </w:p>
    <w:p w:rsidR="00F7706F" w:rsidRDefault="00F7706F">
      <w:pPr>
        <w:pStyle w:val="ConsPlusTitle"/>
        <w:jc w:val="center"/>
      </w:pPr>
      <w:r>
        <w:t xml:space="preserve">0 ПРОЦЕНТОВ ПРИ ПРИМЕНЕНИИ </w:t>
      </w:r>
      <w:proofErr w:type="gramStart"/>
      <w:r>
        <w:t>ПАТЕНТНОЙ</w:t>
      </w:r>
      <w:proofErr w:type="gramEnd"/>
    </w:p>
    <w:p w:rsidR="00F7706F" w:rsidRDefault="00F7706F">
      <w:pPr>
        <w:pStyle w:val="ConsPlusTitle"/>
        <w:jc w:val="center"/>
      </w:pPr>
      <w:r>
        <w:t>СИСТЕМЫ НАЛОГООБЛОЖЕНИЯ</w:t>
      </w:r>
    </w:p>
    <w:p w:rsidR="00F7706F" w:rsidRDefault="00F770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220"/>
      </w:tblGrid>
      <w:tr w:rsidR="00F7706F">
        <w:tc>
          <w:tcPr>
            <w:tcW w:w="660" w:type="dxa"/>
          </w:tcPr>
          <w:p w:rsidR="00F7706F" w:rsidRDefault="00F7706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  <w:jc w:val="center"/>
            </w:pPr>
            <w:r>
              <w:t>2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3.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4.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5.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6.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7.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8.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9.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10.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11.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</w:t>
            </w:r>
            <w:r>
              <w:lastRenderedPageBreak/>
              <w:t>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13.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14.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уборке жилых помещений и ведению домашнего хозяйства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15.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16.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17.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платных туалетов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18.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поваров по изготовлению блюд на дому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19.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20.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21.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22.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по зеленому хозяйству и декоративному цветоводству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23.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24.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Экскурсионные услуги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25.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26.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27.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28.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29.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</w:tr>
      <w:tr w:rsidR="00F7706F">
        <w:tc>
          <w:tcPr>
            <w:tcW w:w="660" w:type="dxa"/>
          </w:tcPr>
          <w:p w:rsidR="00F7706F" w:rsidRDefault="00F7706F">
            <w:pPr>
              <w:pStyle w:val="ConsPlusNormal"/>
            </w:pPr>
            <w:r>
              <w:t>30.</w:t>
            </w:r>
          </w:p>
        </w:tc>
        <w:tc>
          <w:tcPr>
            <w:tcW w:w="8220" w:type="dxa"/>
          </w:tcPr>
          <w:p w:rsidR="00F7706F" w:rsidRDefault="00F7706F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</w:tbl>
    <w:p w:rsidR="00F7706F" w:rsidRDefault="00F7706F" w:rsidP="00F7706F">
      <w:pPr>
        <w:pStyle w:val="ConsPlusNormal"/>
        <w:jc w:val="both"/>
      </w:pPr>
      <w:bookmarkStart w:id="1" w:name="_GoBack"/>
      <w:bookmarkEnd w:id="1"/>
    </w:p>
    <w:sectPr w:rsidR="00F7706F" w:rsidSect="009C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6F"/>
    <w:rsid w:val="00797010"/>
    <w:rsid w:val="00F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7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7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1</cp:revision>
  <dcterms:created xsi:type="dcterms:W3CDTF">2015-11-25T00:16:00Z</dcterms:created>
  <dcterms:modified xsi:type="dcterms:W3CDTF">2015-11-25T00:17:00Z</dcterms:modified>
</cp:coreProperties>
</file>